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83C13">
      <w:pPr>
        <w:autoSpaceDE w:val="0"/>
        <w:autoSpaceDN w:val="0"/>
        <w:spacing w:line="300" w:lineRule="auto"/>
        <w:ind w:right="210" w:rightChars="1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14:paraId="1EFB2047">
      <w:pPr>
        <w:autoSpaceDE w:val="0"/>
        <w:autoSpaceDN w:val="0"/>
        <w:spacing w:line="300" w:lineRule="auto"/>
        <w:ind w:right="210" w:rightChars="100" w:firstLine="2200" w:firstLineChars="500"/>
        <w:jc w:val="both"/>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贵州省</w:t>
      </w:r>
      <w:r>
        <w:rPr>
          <w:rFonts w:hint="eastAsia" w:ascii="方正小标宋简体" w:hAnsi="方正小标宋简体" w:eastAsia="方正小标宋简体" w:cs="方正小标宋简体"/>
          <w:kern w:val="0"/>
          <w:sz w:val="44"/>
          <w:szCs w:val="44"/>
          <w:lang w:eastAsia="zh-CN"/>
        </w:rPr>
        <w:t>医疗保障系统</w:t>
      </w:r>
      <w:r>
        <w:rPr>
          <w:rFonts w:hint="eastAsia" w:ascii="方正小标宋简体" w:hAnsi="方正小标宋简体" w:eastAsia="方正小标宋简体" w:cs="方正小标宋简体"/>
          <w:kern w:val="0"/>
          <w:sz w:val="44"/>
          <w:szCs w:val="44"/>
        </w:rPr>
        <w:t>行政处罚</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裁量权</w:t>
      </w:r>
      <w:r>
        <w:rPr>
          <w:rFonts w:hint="eastAsia" w:ascii="方正小标宋简体" w:hAnsi="方正小标宋简体" w:eastAsia="方正小标宋简体" w:cs="方正小标宋简体"/>
          <w:kern w:val="0"/>
          <w:sz w:val="44"/>
          <w:szCs w:val="44"/>
        </w:rPr>
        <w:t>实施标准</w:t>
      </w:r>
    </w:p>
    <w:tbl>
      <w:tblPr>
        <w:tblStyle w:val="6"/>
        <w:tblpPr w:leftFromText="180" w:rightFromText="180" w:vertAnchor="text" w:horzAnchor="page" w:tblpX="1013" w:tblpY="28"/>
        <w:tblOverlap w:val="never"/>
        <w:tblW w:w="14325" w:type="dxa"/>
        <w:tblInd w:w="0" w:type="dxa"/>
        <w:tblLayout w:type="fixed"/>
        <w:tblCellMar>
          <w:top w:w="0" w:type="dxa"/>
          <w:left w:w="108" w:type="dxa"/>
          <w:bottom w:w="0" w:type="dxa"/>
          <w:right w:w="108" w:type="dxa"/>
        </w:tblCellMar>
      </w:tblPr>
      <w:tblGrid>
        <w:gridCol w:w="729"/>
        <w:gridCol w:w="3160"/>
        <w:gridCol w:w="2036"/>
        <w:gridCol w:w="3654"/>
        <w:gridCol w:w="1405"/>
        <w:gridCol w:w="3341"/>
      </w:tblGrid>
      <w:tr w14:paraId="2875BDD5">
        <w:tblPrEx>
          <w:tblCellMar>
            <w:top w:w="0" w:type="dxa"/>
            <w:left w:w="108" w:type="dxa"/>
            <w:bottom w:w="0" w:type="dxa"/>
            <w:right w:w="108" w:type="dxa"/>
          </w:tblCellMar>
        </w:tblPrEx>
        <w:trPr>
          <w:trHeight w:val="540" w:hRule="atLeast"/>
          <w:tblHead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00BC704A">
            <w:pPr>
              <w:widowControl/>
              <w:ind w:firstLine="5"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3160" w:type="dxa"/>
            <w:vMerge w:val="restart"/>
            <w:tcBorders>
              <w:top w:val="single" w:color="000000" w:sz="4" w:space="0"/>
              <w:left w:val="single" w:color="000000" w:sz="4" w:space="0"/>
              <w:bottom w:val="single" w:color="000000" w:sz="4" w:space="0"/>
              <w:right w:val="single" w:color="000000" w:sz="4" w:space="0"/>
            </w:tcBorders>
            <w:vAlign w:val="center"/>
          </w:tcPr>
          <w:p w14:paraId="7F14E2CF">
            <w:pPr>
              <w:widowControl/>
              <w:ind w:firstLine="5"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违法行为</w:t>
            </w:r>
          </w:p>
        </w:tc>
        <w:tc>
          <w:tcPr>
            <w:tcW w:w="2036" w:type="dxa"/>
            <w:vMerge w:val="restart"/>
            <w:tcBorders>
              <w:top w:val="single" w:color="000000" w:sz="4" w:space="0"/>
              <w:left w:val="single" w:color="000000" w:sz="4" w:space="0"/>
              <w:bottom w:val="single" w:color="000000" w:sz="4" w:space="0"/>
              <w:right w:val="single" w:color="000000" w:sz="4" w:space="0"/>
            </w:tcBorders>
            <w:vAlign w:val="center"/>
          </w:tcPr>
          <w:p w14:paraId="36F473F7">
            <w:pPr>
              <w:widowControl/>
              <w:ind w:firstLine="5"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法律依据</w:t>
            </w:r>
          </w:p>
        </w:tc>
        <w:tc>
          <w:tcPr>
            <w:tcW w:w="3654" w:type="dxa"/>
            <w:vMerge w:val="restart"/>
            <w:tcBorders>
              <w:top w:val="single" w:color="000000" w:sz="4" w:space="0"/>
              <w:left w:val="single" w:color="000000" w:sz="4" w:space="0"/>
              <w:bottom w:val="single" w:color="000000" w:sz="4" w:space="0"/>
              <w:right w:val="single" w:color="000000" w:sz="4" w:space="0"/>
            </w:tcBorders>
            <w:vAlign w:val="center"/>
          </w:tcPr>
          <w:p w14:paraId="2AC6B608">
            <w:pPr>
              <w:widowControl/>
              <w:ind w:firstLine="5"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法律责任</w:t>
            </w:r>
          </w:p>
        </w:tc>
        <w:tc>
          <w:tcPr>
            <w:tcW w:w="4746" w:type="dxa"/>
            <w:gridSpan w:val="2"/>
            <w:tcBorders>
              <w:top w:val="single" w:color="000000" w:sz="4" w:space="0"/>
              <w:left w:val="single" w:color="000000" w:sz="4" w:space="0"/>
              <w:bottom w:val="single" w:color="000000" w:sz="4" w:space="0"/>
              <w:right w:val="single" w:color="000000" w:sz="4" w:space="0"/>
            </w:tcBorders>
            <w:vAlign w:val="center"/>
          </w:tcPr>
          <w:p w14:paraId="45BB3BB7">
            <w:pPr>
              <w:widowControl/>
              <w:ind w:firstLine="5"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裁量基准</w:t>
            </w:r>
          </w:p>
        </w:tc>
      </w:tr>
      <w:tr w14:paraId="6A669977">
        <w:tblPrEx>
          <w:tblCellMar>
            <w:top w:w="0" w:type="dxa"/>
            <w:left w:w="108" w:type="dxa"/>
            <w:bottom w:w="0" w:type="dxa"/>
            <w:right w:w="108" w:type="dxa"/>
          </w:tblCellMar>
        </w:tblPrEx>
        <w:trPr>
          <w:trHeight w:val="565" w:hRule="atLeast"/>
          <w:tblHead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47B5CEF0">
            <w:pPr>
              <w:widowControl/>
              <w:ind w:firstLine="5" w:firstLineChars="2"/>
              <w:jc w:val="center"/>
              <w:rPr>
                <w:rFonts w:ascii="宋体" w:hAnsi="宋体" w:cs="宋体"/>
                <w:b/>
                <w:bCs/>
                <w:color w:val="000000"/>
                <w:kern w:val="0"/>
                <w:sz w:val="24"/>
                <w:szCs w:val="24"/>
              </w:rP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14:paraId="63062534">
            <w:pPr>
              <w:widowControl/>
              <w:ind w:firstLine="5" w:firstLineChars="2"/>
              <w:jc w:val="center"/>
              <w:rPr>
                <w:rFonts w:ascii="宋体" w:hAnsi="宋体" w:cs="宋体"/>
                <w:b/>
                <w:bCs/>
                <w:color w:val="000000"/>
                <w:kern w:val="0"/>
                <w:sz w:val="24"/>
                <w:szCs w:val="24"/>
              </w:rPr>
            </w:pPr>
          </w:p>
        </w:tc>
        <w:tc>
          <w:tcPr>
            <w:tcW w:w="2036" w:type="dxa"/>
            <w:vMerge w:val="continue"/>
            <w:tcBorders>
              <w:top w:val="single" w:color="000000" w:sz="4" w:space="0"/>
              <w:left w:val="single" w:color="000000" w:sz="4" w:space="0"/>
              <w:bottom w:val="single" w:color="000000" w:sz="4" w:space="0"/>
              <w:right w:val="single" w:color="000000" w:sz="4" w:space="0"/>
            </w:tcBorders>
            <w:vAlign w:val="center"/>
          </w:tcPr>
          <w:p w14:paraId="2BE848F3">
            <w:pPr>
              <w:widowControl/>
              <w:ind w:firstLine="5" w:firstLineChars="2"/>
              <w:jc w:val="center"/>
              <w:rPr>
                <w:rFonts w:ascii="宋体" w:hAnsi="宋体" w:cs="宋体"/>
                <w:b/>
                <w:bCs/>
                <w:color w:val="000000"/>
                <w:kern w:val="0"/>
                <w:sz w:val="24"/>
                <w:szCs w:val="24"/>
              </w:rPr>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14:paraId="4D5134E3">
            <w:pPr>
              <w:widowControl/>
              <w:ind w:firstLine="5" w:firstLineChars="2"/>
              <w:jc w:val="center"/>
              <w:rPr>
                <w:rFonts w:ascii="宋体" w:hAnsi="宋体" w:cs="宋体"/>
                <w:b/>
                <w:bCs/>
                <w:color w:val="000000"/>
                <w:kern w:val="0"/>
                <w:sz w:val="24"/>
                <w:szCs w:val="24"/>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74DE2721">
            <w:pPr>
              <w:widowControl/>
              <w:jc w:val="center"/>
              <w:rPr>
                <w:rFonts w:hint="eastAsia" w:ascii="宋体" w:hAnsi="宋体" w:cs="宋体" w:eastAsiaTheme="minorEastAsia"/>
                <w:b/>
                <w:bCs/>
                <w:color w:val="000000"/>
                <w:kern w:val="0"/>
                <w:sz w:val="24"/>
                <w:szCs w:val="24"/>
                <w:lang w:eastAsia="zh-CN"/>
              </w:rPr>
            </w:pPr>
            <w:r>
              <w:rPr>
                <w:rFonts w:hint="eastAsia" w:ascii="宋体" w:hAnsi="宋体" w:cs="宋体"/>
                <w:b/>
                <w:bCs/>
                <w:color w:val="000000"/>
                <w:kern w:val="0"/>
                <w:sz w:val="24"/>
                <w:szCs w:val="24"/>
                <w:lang w:val="en-US" w:eastAsia="zh-CN"/>
              </w:rPr>
              <w:t>适用情形</w:t>
            </w:r>
          </w:p>
        </w:tc>
        <w:tc>
          <w:tcPr>
            <w:tcW w:w="3341" w:type="dxa"/>
            <w:tcBorders>
              <w:top w:val="single" w:color="000000" w:sz="4" w:space="0"/>
              <w:left w:val="single" w:color="000000" w:sz="4" w:space="0"/>
              <w:bottom w:val="single" w:color="000000" w:sz="4" w:space="0"/>
              <w:right w:val="single" w:color="000000" w:sz="4" w:space="0"/>
            </w:tcBorders>
            <w:vAlign w:val="center"/>
          </w:tcPr>
          <w:p w14:paraId="320D84D9">
            <w:pPr>
              <w:widowControl/>
              <w:ind w:firstLine="5"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处罚幅度</w:t>
            </w:r>
          </w:p>
        </w:tc>
      </w:tr>
      <w:tr w14:paraId="69B14E80">
        <w:tblPrEx>
          <w:tblCellMar>
            <w:top w:w="0" w:type="dxa"/>
            <w:left w:w="108" w:type="dxa"/>
            <w:bottom w:w="0" w:type="dxa"/>
            <w:right w:w="108" w:type="dxa"/>
          </w:tblCellMar>
        </w:tblPrEx>
        <w:trPr>
          <w:trHeight w:val="90" w:hRule="atLeast"/>
          <w:tblHeader/>
        </w:trPr>
        <w:tc>
          <w:tcPr>
            <w:tcW w:w="729" w:type="dxa"/>
            <w:vMerge w:val="restart"/>
            <w:tcBorders>
              <w:top w:val="single" w:color="000000" w:sz="4" w:space="0"/>
              <w:left w:val="single" w:color="000000" w:sz="4" w:space="0"/>
              <w:right w:val="single" w:color="000000" w:sz="4" w:space="0"/>
            </w:tcBorders>
            <w:vAlign w:val="center"/>
          </w:tcPr>
          <w:p w14:paraId="0AE3929D">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1</w:t>
            </w:r>
          </w:p>
        </w:tc>
        <w:tc>
          <w:tcPr>
            <w:tcW w:w="3160" w:type="dxa"/>
            <w:vMerge w:val="restart"/>
            <w:tcBorders>
              <w:top w:val="single" w:color="000000" w:sz="4" w:space="0"/>
              <w:left w:val="single" w:color="000000" w:sz="4" w:space="0"/>
              <w:right w:val="single" w:color="000000" w:sz="4" w:space="0"/>
            </w:tcBorders>
            <w:vAlign w:val="center"/>
          </w:tcPr>
          <w:p w14:paraId="383AEB8F">
            <w:pPr>
              <w:widowControl/>
              <w:ind w:firstLine="4" w:firstLineChars="2"/>
              <w:jc w:val="left"/>
              <w:rPr>
                <w:rFonts w:hint="eastAsia" w:ascii="楷体" w:hAnsi="楷体" w:eastAsia="楷体" w:cs="楷体"/>
                <w:b w:val="0"/>
                <w:bCs w:val="0"/>
                <w:color w:val="auto"/>
                <w:kern w:val="0"/>
                <w:sz w:val="22"/>
                <w:szCs w:val="22"/>
              </w:rPr>
            </w:pPr>
            <w:r>
              <w:rPr>
                <w:rFonts w:hint="eastAsia" w:ascii="楷体" w:hAnsi="楷体" w:eastAsia="楷体" w:cs="楷体"/>
                <w:b w:val="0"/>
                <w:bCs w:val="0"/>
                <w:i w:val="0"/>
                <w:caps w:val="0"/>
                <w:color w:val="auto"/>
                <w:spacing w:val="0"/>
                <w:sz w:val="22"/>
                <w:szCs w:val="22"/>
                <w:shd w:val="clear" w:fill="FFFFFF"/>
              </w:rPr>
              <w:t>医疗保障经办机构通过伪造、变造、隐匿、涂改、销毁医学文书、医学证明、会计凭证、电子信息等有关资料或者虚构医药服务项目等方式，骗取医疗保障基金支出</w:t>
            </w:r>
          </w:p>
        </w:tc>
        <w:tc>
          <w:tcPr>
            <w:tcW w:w="2036" w:type="dxa"/>
            <w:vMerge w:val="restart"/>
            <w:tcBorders>
              <w:top w:val="single" w:color="000000" w:sz="4" w:space="0"/>
              <w:left w:val="single" w:color="000000" w:sz="4" w:space="0"/>
              <w:right w:val="single" w:color="000000" w:sz="4" w:space="0"/>
            </w:tcBorders>
            <w:vAlign w:val="center"/>
          </w:tcPr>
          <w:p w14:paraId="6602EEC0">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《社会保险法》第87、88条</w:t>
            </w:r>
          </w:p>
          <w:p w14:paraId="37783CAF">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《基本医疗卫生与健康促进法》第104条</w:t>
            </w:r>
          </w:p>
          <w:p w14:paraId="339208BD">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《医疗保障基金使用监督管理条例》第37条</w:t>
            </w:r>
          </w:p>
        </w:tc>
        <w:tc>
          <w:tcPr>
            <w:tcW w:w="3654" w:type="dxa"/>
            <w:vMerge w:val="restart"/>
            <w:tcBorders>
              <w:top w:val="single" w:color="000000" w:sz="4" w:space="0"/>
              <w:left w:val="single" w:color="000000" w:sz="4" w:space="0"/>
              <w:right w:val="single" w:color="000000" w:sz="4" w:space="0"/>
            </w:tcBorders>
            <w:vAlign w:val="center"/>
          </w:tcPr>
          <w:p w14:paraId="7B793828">
            <w:pPr>
              <w:widowControl/>
              <w:ind w:firstLine="4" w:firstLineChars="2"/>
              <w:jc w:val="left"/>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由医疗保障行政部门责令退回，</w:t>
            </w:r>
            <w:r>
              <w:rPr>
                <w:rFonts w:hint="eastAsia" w:ascii="楷体" w:hAnsi="楷体" w:eastAsia="楷体" w:cs="楷体"/>
                <w:b w:val="0"/>
                <w:bCs w:val="0"/>
                <w:color w:val="auto"/>
                <w:kern w:val="0"/>
                <w:sz w:val="22"/>
                <w:szCs w:val="22"/>
                <w:lang w:val="en-US" w:eastAsia="zh-CN"/>
              </w:rPr>
              <w:t>处</w:t>
            </w:r>
            <w:r>
              <w:rPr>
                <w:rFonts w:hint="eastAsia" w:ascii="楷体" w:hAnsi="楷体" w:eastAsia="楷体" w:cs="楷体"/>
                <w:b w:val="0"/>
                <w:bCs w:val="0"/>
                <w:color w:val="auto"/>
                <w:kern w:val="0"/>
                <w:sz w:val="22"/>
                <w:szCs w:val="22"/>
              </w:rPr>
              <w:t>骗取金额2倍以上5倍以下的罚款，对直接负责的主管人员和其他直接责任人员依法给予处分</w:t>
            </w:r>
          </w:p>
        </w:tc>
        <w:tc>
          <w:tcPr>
            <w:tcW w:w="1405" w:type="dxa"/>
            <w:tcBorders>
              <w:top w:val="single" w:color="000000" w:sz="4" w:space="0"/>
              <w:left w:val="single" w:color="000000" w:sz="4" w:space="0"/>
              <w:bottom w:val="single" w:color="000000" w:sz="4" w:space="0"/>
              <w:right w:val="single" w:color="000000" w:sz="4" w:space="0"/>
            </w:tcBorders>
            <w:vAlign w:val="center"/>
          </w:tcPr>
          <w:p w14:paraId="571DC9C1">
            <w:pPr>
              <w:pStyle w:val="2"/>
              <w:jc w:val="center"/>
              <w:rPr>
                <w:rFonts w:hint="eastAsia" w:ascii="楷体" w:hAnsi="楷体" w:eastAsia="楷体" w:cs="宋体"/>
                <w:kern w:val="0"/>
                <w:sz w:val="22"/>
                <w:szCs w:val="30"/>
                <w:lang w:val="en-US" w:eastAsia="zh-CN" w:bidi="ar-SA"/>
              </w:rPr>
            </w:pPr>
          </w:p>
          <w:p w14:paraId="16CEE07B">
            <w:pPr>
              <w:pStyle w:val="2"/>
              <w:jc w:val="center"/>
              <w:rPr>
                <w:rFonts w:hint="eastAsia"/>
                <w:lang w:eastAsia="zh-CN"/>
              </w:rPr>
            </w:pPr>
            <w:r>
              <w:rPr>
                <w:rFonts w:hint="eastAsia" w:ascii="楷体" w:hAnsi="楷体" w:eastAsia="楷体" w:cs="宋体"/>
                <w:kern w:val="0"/>
                <w:sz w:val="22"/>
                <w:szCs w:val="30"/>
                <w:lang w:val="en-US" w:eastAsia="zh-CN" w:bidi="ar-SA"/>
              </w:rPr>
              <w:t>从轻</w:t>
            </w:r>
          </w:p>
          <w:p w14:paraId="5B8A8B91">
            <w:pPr>
              <w:widowControl/>
              <w:spacing w:line="264" w:lineRule="auto"/>
              <w:jc w:val="center"/>
              <w:rPr>
                <w:rFonts w:hint="eastAsia" w:ascii="楷体" w:hAnsi="楷体" w:eastAsia="楷体" w:cs="宋体"/>
                <w:kern w:val="0"/>
                <w:sz w:val="22"/>
                <w:szCs w:val="30"/>
                <w:lang w:val="en-US" w:eastAsia="zh-CN" w:bidi="ar-SA"/>
              </w:rPr>
            </w:pPr>
          </w:p>
        </w:tc>
        <w:tc>
          <w:tcPr>
            <w:tcW w:w="3341" w:type="dxa"/>
            <w:tcBorders>
              <w:top w:val="single" w:color="000000" w:sz="4" w:space="0"/>
              <w:left w:val="single" w:color="000000" w:sz="4" w:space="0"/>
              <w:bottom w:val="single" w:color="000000" w:sz="4" w:space="0"/>
              <w:right w:val="single" w:color="000000" w:sz="4" w:space="0"/>
            </w:tcBorders>
            <w:vAlign w:val="center"/>
          </w:tcPr>
          <w:p w14:paraId="7679A27F">
            <w:pPr>
              <w:widowControl/>
              <w:spacing w:line="264" w:lineRule="auto"/>
              <w:jc w:val="both"/>
              <w:rPr>
                <w:rFonts w:hint="default" w:ascii="楷体" w:hAnsi="楷体" w:eastAsia="楷体" w:cs="楷体"/>
                <w:b w:val="0"/>
                <w:bCs w:val="0"/>
                <w:color w:val="auto"/>
                <w:kern w:val="0"/>
                <w:sz w:val="22"/>
                <w:szCs w:val="22"/>
                <w:lang w:val="en-US" w:eastAsia="zh-CN"/>
              </w:rPr>
            </w:pPr>
            <w:r>
              <w:rPr>
                <w:rFonts w:hint="eastAsia" w:ascii="楷体" w:hAnsi="楷体" w:eastAsia="楷体" w:cs="宋体"/>
                <w:kern w:val="0"/>
                <w:sz w:val="22"/>
              </w:rPr>
              <w:t>按照2</w:t>
            </w:r>
            <w:r>
              <w:rPr>
                <w:rFonts w:hint="eastAsia" w:ascii="楷体" w:hAnsi="楷体" w:eastAsia="楷体" w:cs="宋体"/>
                <w:kern w:val="0"/>
                <w:sz w:val="22"/>
                <w:lang w:val="en-US" w:eastAsia="zh-CN"/>
              </w:rPr>
              <w:t>倍以上3.5</w:t>
            </w:r>
            <w:r>
              <w:rPr>
                <w:rFonts w:hint="eastAsia" w:ascii="楷体" w:hAnsi="楷体" w:eastAsia="楷体" w:cs="宋体"/>
                <w:kern w:val="0"/>
                <w:sz w:val="22"/>
              </w:rPr>
              <w:t>倍</w:t>
            </w:r>
            <w:r>
              <w:rPr>
                <w:rFonts w:hint="eastAsia" w:ascii="楷体" w:hAnsi="楷体" w:eastAsia="楷体" w:cs="宋体"/>
                <w:kern w:val="0"/>
                <w:sz w:val="22"/>
                <w:lang w:val="en-US" w:eastAsia="zh-CN"/>
              </w:rPr>
              <w:t>以下</w:t>
            </w:r>
            <w:r>
              <w:rPr>
                <w:rFonts w:hint="eastAsia" w:ascii="楷体" w:hAnsi="楷体" w:eastAsia="楷体" w:cs="宋体"/>
                <w:kern w:val="0"/>
                <w:sz w:val="22"/>
              </w:rPr>
              <w:t>标准罚款</w:t>
            </w:r>
          </w:p>
        </w:tc>
      </w:tr>
      <w:tr w14:paraId="5D480D28">
        <w:tblPrEx>
          <w:tblCellMar>
            <w:top w:w="0" w:type="dxa"/>
            <w:left w:w="108" w:type="dxa"/>
            <w:bottom w:w="0" w:type="dxa"/>
            <w:right w:w="108" w:type="dxa"/>
          </w:tblCellMar>
        </w:tblPrEx>
        <w:trPr>
          <w:trHeight w:val="1744" w:hRule="atLeast"/>
          <w:tblHeader/>
        </w:trPr>
        <w:tc>
          <w:tcPr>
            <w:tcW w:w="729" w:type="dxa"/>
            <w:vMerge w:val="continue"/>
            <w:tcBorders>
              <w:left w:val="single" w:color="000000" w:sz="4" w:space="0"/>
              <w:right w:val="single" w:color="000000" w:sz="4" w:space="0"/>
            </w:tcBorders>
            <w:vAlign w:val="center"/>
          </w:tcPr>
          <w:p w14:paraId="08CB4385">
            <w:pPr>
              <w:widowControl/>
              <w:ind w:firstLine="4" w:firstLineChars="2"/>
              <w:jc w:val="center"/>
            </w:pPr>
          </w:p>
        </w:tc>
        <w:tc>
          <w:tcPr>
            <w:tcW w:w="3160" w:type="dxa"/>
            <w:vMerge w:val="continue"/>
            <w:tcBorders>
              <w:left w:val="single" w:color="000000" w:sz="4" w:space="0"/>
              <w:right w:val="single" w:color="000000" w:sz="4" w:space="0"/>
            </w:tcBorders>
            <w:vAlign w:val="center"/>
          </w:tcPr>
          <w:p w14:paraId="4CF7C9B9">
            <w:pPr>
              <w:widowControl/>
              <w:ind w:firstLine="4" w:firstLineChars="2"/>
              <w:jc w:val="center"/>
            </w:pPr>
          </w:p>
        </w:tc>
        <w:tc>
          <w:tcPr>
            <w:tcW w:w="2036" w:type="dxa"/>
            <w:vMerge w:val="continue"/>
            <w:tcBorders>
              <w:left w:val="single" w:color="000000" w:sz="4" w:space="0"/>
              <w:right w:val="single" w:color="000000" w:sz="4" w:space="0"/>
            </w:tcBorders>
            <w:vAlign w:val="center"/>
          </w:tcPr>
          <w:p w14:paraId="45BED9D7">
            <w:pPr>
              <w:widowControl/>
              <w:ind w:firstLine="4" w:firstLineChars="2"/>
              <w:jc w:val="center"/>
            </w:pPr>
          </w:p>
        </w:tc>
        <w:tc>
          <w:tcPr>
            <w:tcW w:w="3654" w:type="dxa"/>
            <w:vMerge w:val="continue"/>
            <w:tcBorders>
              <w:left w:val="single" w:color="000000" w:sz="4" w:space="0"/>
              <w:right w:val="single" w:color="000000" w:sz="4" w:space="0"/>
            </w:tcBorders>
            <w:vAlign w:val="center"/>
          </w:tcPr>
          <w:p w14:paraId="26C31FA3">
            <w:pPr>
              <w:widowControl/>
              <w:ind w:firstLine="4" w:firstLineChars="2"/>
              <w:jc w:val="center"/>
            </w:pPr>
          </w:p>
        </w:tc>
        <w:tc>
          <w:tcPr>
            <w:tcW w:w="1405" w:type="dxa"/>
            <w:tcBorders>
              <w:top w:val="single" w:color="000000" w:sz="4" w:space="0"/>
              <w:left w:val="single" w:color="000000" w:sz="4" w:space="0"/>
              <w:bottom w:val="single" w:color="000000" w:sz="4" w:space="0"/>
              <w:right w:val="single" w:color="000000" w:sz="4" w:space="0"/>
            </w:tcBorders>
            <w:vAlign w:val="center"/>
          </w:tcPr>
          <w:p w14:paraId="0B55A51B">
            <w:pPr>
              <w:widowControl/>
              <w:spacing w:line="264" w:lineRule="auto"/>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一般</w:t>
            </w:r>
          </w:p>
          <w:p w14:paraId="53D487AB">
            <w:pPr>
              <w:widowControl/>
              <w:spacing w:line="264" w:lineRule="auto"/>
              <w:jc w:val="center"/>
              <w:rPr>
                <w:rFonts w:hint="eastAsia" w:ascii="楷体" w:hAnsi="楷体" w:eastAsia="楷体" w:cs="宋体"/>
                <w:kern w:val="0"/>
                <w:sz w:val="22"/>
                <w:lang w:eastAsia="zh-CN"/>
              </w:rPr>
            </w:pPr>
          </w:p>
        </w:tc>
        <w:tc>
          <w:tcPr>
            <w:tcW w:w="3341" w:type="dxa"/>
            <w:tcBorders>
              <w:top w:val="single" w:color="000000" w:sz="4" w:space="0"/>
              <w:left w:val="single" w:color="000000" w:sz="4" w:space="0"/>
              <w:bottom w:val="single" w:color="000000" w:sz="4" w:space="0"/>
              <w:right w:val="single" w:color="000000" w:sz="4" w:space="0"/>
            </w:tcBorders>
            <w:vAlign w:val="center"/>
          </w:tcPr>
          <w:p w14:paraId="28A15297">
            <w:pPr>
              <w:widowControl/>
              <w:spacing w:line="264" w:lineRule="auto"/>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3.5</w:t>
            </w:r>
            <w:r>
              <w:rPr>
                <w:rFonts w:hint="eastAsia" w:ascii="楷体" w:hAnsi="楷体" w:eastAsia="楷体" w:cs="宋体"/>
                <w:kern w:val="0"/>
                <w:sz w:val="22"/>
              </w:rPr>
              <w:t>倍标准罚款</w:t>
            </w:r>
          </w:p>
        </w:tc>
      </w:tr>
      <w:tr w14:paraId="6F7547C0">
        <w:tblPrEx>
          <w:tblCellMar>
            <w:top w:w="0" w:type="dxa"/>
            <w:left w:w="108" w:type="dxa"/>
            <w:bottom w:w="0" w:type="dxa"/>
            <w:right w:w="108" w:type="dxa"/>
          </w:tblCellMar>
        </w:tblPrEx>
        <w:trPr>
          <w:trHeight w:val="1669" w:hRule="atLeast"/>
          <w:tblHeader/>
        </w:trPr>
        <w:tc>
          <w:tcPr>
            <w:tcW w:w="729" w:type="dxa"/>
            <w:vMerge w:val="continue"/>
            <w:tcBorders>
              <w:left w:val="single" w:color="000000" w:sz="4" w:space="0"/>
              <w:bottom w:val="single" w:color="auto" w:sz="4" w:space="0"/>
              <w:right w:val="single" w:color="000000" w:sz="4" w:space="0"/>
            </w:tcBorders>
            <w:vAlign w:val="center"/>
          </w:tcPr>
          <w:p w14:paraId="5914C85C">
            <w:pPr>
              <w:widowControl/>
              <w:ind w:firstLine="4" w:firstLineChars="2"/>
              <w:jc w:val="center"/>
            </w:pPr>
          </w:p>
        </w:tc>
        <w:tc>
          <w:tcPr>
            <w:tcW w:w="3160" w:type="dxa"/>
            <w:vMerge w:val="continue"/>
            <w:tcBorders>
              <w:left w:val="single" w:color="000000" w:sz="4" w:space="0"/>
              <w:bottom w:val="single" w:color="auto" w:sz="4" w:space="0"/>
              <w:right w:val="single" w:color="000000" w:sz="4" w:space="0"/>
            </w:tcBorders>
            <w:vAlign w:val="center"/>
          </w:tcPr>
          <w:p w14:paraId="3EA80E4C">
            <w:pPr>
              <w:widowControl/>
              <w:ind w:firstLine="4" w:firstLineChars="2"/>
              <w:jc w:val="center"/>
            </w:pPr>
          </w:p>
        </w:tc>
        <w:tc>
          <w:tcPr>
            <w:tcW w:w="2036" w:type="dxa"/>
            <w:vMerge w:val="continue"/>
            <w:tcBorders>
              <w:left w:val="single" w:color="000000" w:sz="4" w:space="0"/>
              <w:bottom w:val="single" w:color="auto" w:sz="4" w:space="0"/>
              <w:right w:val="single" w:color="000000" w:sz="4" w:space="0"/>
            </w:tcBorders>
            <w:vAlign w:val="center"/>
          </w:tcPr>
          <w:p w14:paraId="4711E2B3">
            <w:pPr>
              <w:widowControl/>
              <w:ind w:firstLine="4" w:firstLineChars="2"/>
              <w:jc w:val="center"/>
            </w:pPr>
          </w:p>
        </w:tc>
        <w:tc>
          <w:tcPr>
            <w:tcW w:w="3654" w:type="dxa"/>
            <w:vMerge w:val="continue"/>
            <w:tcBorders>
              <w:left w:val="single" w:color="000000" w:sz="4" w:space="0"/>
              <w:bottom w:val="single" w:color="auto" w:sz="4" w:space="0"/>
              <w:right w:val="single" w:color="000000" w:sz="4" w:space="0"/>
            </w:tcBorders>
            <w:vAlign w:val="center"/>
          </w:tcPr>
          <w:p w14:paraId="1D12F9BC">
            <w:pPr>
              <w:widowControl/>
              <w:ind w:firstLine="4" w:firstLineChars="2"/>
              <w:jc w:val="center"/>
            </w:pPr>
          </w:p>
        </w:tc>
        <w:tc>
          <w:tcPr>
            <w:tcW w:w="1405" w:type="dxa"/>
            <w:tcBorders>
              <w:top w:val="single" w:color="000000" w:sz="4" w:space="0"/>
              <w:left w:val="single" w:color="000000" w:sz="4" w:space="0"/>
              <w:bottom w:val="single" w:color="000000" w:sz="4" w:space="0"/>
              <w:right w:val="single" w:color="000000" w:sz="4" w:space="0"/>
            </w:tcBorders>
            <w:vAlign w:val="center"/>
          </w:tcPr>
          <w:p w14:paraId="561BB276">
            <w:pPr>
              <w:widowControl/>
              <w:spacing w:line="264" w:lineRule="auto"/>
              <w:jc w:val="center"/>
              <w:rPr>
                <w:rFonts w:hint="eastAsia" w:ascii="楷体" w:hAnsi="楷体" w:eastAsia="楷体" w:cs="宋体"/>
                <w:kern w:val="0"/>
                <w:sz w:val="22"/>
                <w:lang w:eastAsia="zh-CN"/>
              </w:rPr>
            </w:pPr>
            <w:r>
              <w:rPr>
                <w:rFonts w:hint="eastAsia" w:ascii="楷体" w:hAnsi="楷体" w:eastAsia="楷体" w:cs="宋体"/>
                <w:kern w:val="0"/>
                <w:sz w:val="22"/>
                <w:lang w:val="en-US" w:eastAsia="zh-CN"/>
              </w:rPr>
              <w:t>从重</w:t>
            </w:r>
          </w:p>
          <w:p w14:paraId="1403AE2E">
            <w:pPr>
              <w:widowControl/>
              <w:spacing w:line="264" w:lineRule="auto"/>
              <w:jc w:val="center"/>
              <w:rPr>
                <w:rFonts w:hint="eastAsia" w:ascii="楷体" w:hAnsi="楷体" w:eastAsia="楷体" w:cs="宋体"/>
                <w:kern w:val="0"/>
                <w:sz w:val="22"/>
                <w:lang w:eastAsia="zh-CN"/>
              </w:rPr>
            </w:pPr>
          </w:p>
        </w:tc>
        <w:tc>
          <w:tcPr>
            <w:tcW w:w="3341" w:type="dxa"/>
            <w:tcBorders>
              <w:top w:val="single" w:color="000000" w:sz="4" w:space="0"/>
              <w:left w:val="single" w:color="000000" w:sz="4" w:space="0"/>
              <w:bottom w:val="single" w:color="000000" w:sz="4" w:space="0"/>
              <w:right w:val="single" w:color="000000" w:sz="4" w:space="0"/>
            </w:tcBorders>
            <w:vAlign w:val="center"/>
          </w:tcPr>
          <w:p w14:paraId="6E3D2238">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3.5倍以上至5</w:t>
            </w:r>
            <w:r>
              <w:rPr>
                <w:rFonts w:hint="eastAsia" w:ascii="楷体" w:hAnsi="楷体" w:eastAsia="楷体" w:cs="宋体"/>
                <w:kern w:val="0"/>
                <w:sz w:val="22"/>
              </w:rPr>
              <w:t>倍标准罚款</w:t>
            </w:r>
          </w:p>
        </w:tc>
      </w:tr>
    </w:tbl>
    <w:p w14:paraId="682DC9AC">
      <w:pPr>
        <w:pStyle w:val="2"/>
        <w:rPr>
          <w:rFonts w:hint="eastAsia" w:ascii="楷体" w:hAnsi="楷体" w:eastAsia="楷体" w:cs="楷体"/>
          <w:b w:val="0"/>
          <w:bCs w:val="0"/>
          <w:color w:val="auto"/>
          <w:sz w:val="22"/>
          <w:szCs w:val="22"/>
          <w:lang w:val="en-US" w:eastAsia="zh-CN"/>
        </w:rPr>
      </w:pPr>
      <w:r>
        <w:rPr>
          <w:rFonts w:hint="eastAsia" w:ascii="楷体" w:hAnsi="楷体" w:eastAsia="楷体" w:cs="楷体"/>
          <w:b w:val="0"/>
          <w:bCs w:val="0"/>
          <w:color w:val="auto"/>
          <w:sz w:val="22"/>
          <w:szCs w:val="22"/>
          <w:lang w:val="en-US" w:eastAsia="zh-CN"/>
        </w:rPr>
        <w:br w:type="page"/>
      </w:r>
    </w:p>
    <w:tbl>
      <w:tblPr>
        <w:tblStyle w:val="6"/>
        <w:tblpPr w:leftFromText="180" w:rightFromText="180" w:vertAnchor="text" w:horzAnchor="page" w:tblpX="1013" w:tblpY="28"/>
        <w:tblOverlap w:val="never"/>
        <w:tblW w:w="14325" w:type="dxa"/>
        <w:tblInd w:w="0" w:type="dxa"/>
        <w:tblLayout w:type="fixed"/>
        <w:tblCellMar>
          <w:top w:w="0" w:type="dxa"/>
          <w:left w:w="108" w:type="dxa"/>
          <w:bottom w:w="0" w:type="dxa"/>
          <w:right w:w="108" w:type="dxa"/>
        </w:tblCellMar>
      </w:tblPr>
      <w:tblGrid>
        <w:gridCol w:w="729"/>
        <w:gridCol w:w="3160"/>
        <w:gridCol w:w="2036"/>
        <w:gridCol w:w="3654"/>
        <w:gridCol w:w="1417"/>
        <w:gridCol w:w="3329"/>
      </w:tblGrid>
      <w:tr w14:paraId="023056E6">
        <w:tblPrEx>
          <w:tblCellMar>
            <w:top w:w="0" w:type="dxa"/>
            <w:left w:w="108" w:type="dxa"/>
            <w:bottom w:w="0" w:type="dxa"/>
            <w:right w:w="108" w:type="dxa"/>
          </w:tblCellMar>
        </w:tblPrEx>
        <w:trPr>
          <w:trHeight w:val="1267" w:hRule="atLeast"/>
          <w:tblHeader/>
        </w:trPr>
        <w:tc>
          <w:tcPr>
            <w:tcW w:w="729" w:type="dxa"/>
            <w:vMerge w:val="restart"/>
            <w:tcBorders>
              <w:top w:val="single" w:color="000000" w:sz="4" w:space="0"/>
              <w:left w:val="single" w:color="000000" w:sz="4" w:space="0"/>
              <w:right w:val="single" w:color="000000" w:sz="4" w:space="0"/>
            </w:tcBorders>
            <w:vAlign w:val="center"/>
          </w:tcPr>
          <w:p w14:paraId="41589937">
            <w:pPr>
              <w:pStyle w:val="2"/>
              <w:jc w:val="center"/>
              <w:rPr>
                <w:rFonts w:hint="eastAsia" w:ascii="楷体" w:hAnsi="楷体" w:eastAsia="楷体" w:cs="楷体"/>
                <w:b w:val="0"/>
                <w:bCs w:val="0"/>
                <w:color w:val="auto"/>
                <w:sz w:val="22"/>
                <w:szCs w:val="22"/>
                <w:lang w:val="en-US" w:eastAsia="zh-CN"/>
              </w:rPr>
            </w:pPr>
            <w:r>
              <w:rPr>
                <w:rFonts w:hint="eastAsia" w:ascii="楷体" w:hAnsi="楷体" w:eastAsia="楷体" w:cs="楷体"/>
                <w:b w:val="0"/>
                <w:bCs w:val="0"/>
                <w:color w:val="auto"/>
                <w:sz w:val="22"/>
                <w:szCs w:val="22"/>
                <w:lang w:val="en-US" w:eastAsia="zh-CN"/>
              </w:rPr>
              <w:t>2</w:t>
            </w:r>
          </w:p>
        </w:tc>
        <w:tc>
          <w:tcPr>
            <w:tcW w:w="3160" w:type="dxa"/>
            <w:vMerge w:val="restart"/>
            <w:tcBorders>
              <w:top w:val="single" w:color="000000" w:sz="4" w:space="0"/>
              <w:left w:val="single" w:color="000000" w:sz="4" w:space="0"/>
              <w:right w:val="single" w:color="000000" w:sz="4" w:space="0"/>
            </w:tcBorders>
            <w:vAlign w:val="center"/>
          </w:tcPr>
          <w:p w14:paraId="42C0FB51">
            <w:pPr>
              <w:keepNext w:val="0"/>
              <w:keepLines w:val="0"/>
              <w:pageBreakBefore w:val="0"/>
              <w:widowControl/>
              <w:kinsoku/>
              <w:wordWrap/>
              <w:overflowPunct/>
              <w:topLinePunct w:val="0"/>
              <w:autoSpaceDE w:val="0"/>
              <w:autoSpaceDN w:val="0"/>
              <w:bidi w:val="0"/>
              <w:adjustRightInd/>
              <w:snapToGrid/>
              <w:spacing w:line="260" w:lineRule="exact"/>
              <w:jc w:val="both"/>
              <w:textAlignment w:val="auto"/>
              <w:outlineLvl w:val="9"/>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定点医药机构</w:t>
            </w:r>
            <w:r>
              <w:rPr>
                <w:rFonts w:hint="eastAsia" w:ascii="楷体" w:hAnsi="楷体" w:eastAsia="楷体" w:cs="楷体"/>
                <w:b w:val="0"/>
                <w:bCs w:val="0"/>
                <w:color w:val="auto"/>
                <w:kern w:val="0"/>
                <w:sz w:val="22"/>
                <w:szCs w:val="22"/>
              </w:rPr>
              <w:t>未建立医疗保障基金使用内部管理制度，或者没有专门机构或者人员负责医疗保障基金使用管理工作；未按照规定保管财务账目、会计凭证、处方、病历、治疗检查记录、费用明细、药品和医用耗材出入库记录等资料；未按照规定通过医疗保障信息系统传送医疗保障基金使用有关数据；未按照规定向医疗保障行政部门报告医疗保障基金使用监督管理所需信息；未按照规定向社会公开医药费用、费用结构等信息；除急诊、抢救等特殊情形外，未经参保人员或者其近亲属、监护人同意提供医疗保障基金支付范围以外的医药服务；拒绝医疗保障等行政部门监督检查或者提供虚假情况</w:t>
            </w:r>
          </w:p>
        </w:tc>
        <w:tc>
          <w:tcPr>
            <w:tcW w:w="2036" w:type="dxa"/>
            <w:vMerge w:val="restart"/>
            <w:tcBorders>
              <w:top w:val="single" w:color="000000" w:sz="4" w:space="0"/>
              <w:left w:val="single" w:color="000000" w:sz="4" w:space="0"/>
              <w:right w:val="single" w:color="000000" w:sz="4" w:space="0"/>
            </w:tcBorders>
            <w:vAlign w:val="center"/>
          </w:tcPr>
          <w:p w14:paraId="581AF581">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14:paraId="420A5487">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第</w:t>
            </w:r>
            <w:r>
              <w:rPr>
                <w:rFonts w:hint="eastAsia" w:ascii="楷体" w:hAnsi="楷体" w:eastAsia="楷体" w:cs="楷体"/>
                <w:b w:val="0"/>
                <w:bCs w:val="0"/>
                <w:color w:val="auto"/>
                <w:kern w:val="0"/>
                <w:sz w:val="22"/>
                <w:szCs w:val="22"/>
                <w:lang w:val="en-US" w:eastAsia="zh-CN"/>
              </w:rPr>
              <w:t>39</w:t>
            </w:r>
            <w:r>
              <w:rPr>
                <w:rFonts w:hint="eastAsia" w:ascii="楷体" w:hAnsi="楷体" w:eastAsia="楷体" w:cs="楷体"/>
                <w:b w:val="0"/>
                <w:bCs w:val="0"/>
                <w:color w:val="auto"/>
                <w:kern w:val="0"/>
                <w:sz w:val="22"/>
                <w:szCs w:val="22"/>
                <w:lang w:eastAsia="zh-CN"/>
              </w:rPr>
              <w:t>条</w:t>
            </w:r>
          </w:p>
        </w:tc>
        <w:tc>
          <w:tcPr>
            <w:tcW w:w="3654" w:type="dxa"/>
            <w:vMerge w:val="restart"/>
            <w:tcBorders>
              <w:top w:val="single" w:color="000000" w:sz="4" w:space="0"/>
              <w:left w:val="single" w:color="000000" w:sz="4" w:space="0"/>
              <w:right w:val="single" w:color="000000" w:sz="4" w:space="0"/>
            </w:tcBorders>
            <w:vAlign w:val="center"/>
          </w:tcPr>
          <w:p w14:paraId="12AFA8FB">
            <w:pPr>
              <w:keepNext w:val="0"/>
              <w:keepLines w:val="0"/>
              <w:pageBreakBefore w:val="0"/>
              <w:widowControl/>
              <w:kinsoku/>
              <w:wordWrap/>
              <w:overflowPunct/>
              <w:topLinePunct w:val="0"/>
              <w:bidi w:val="0"/>
              <w:adjustRightInd/>
              <w:snapToGrid/>
              <w:spacing w:line="260" w:lineRule="exact"/>
              <w:ind w:firstLine="4" w:firstLineChars="2"/>
              <w:jc w:val="left"/>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由医疗保障行政部门责令改正，并可以约谈有关负责人；拒不改正的，处1万元以上5万元以下的罚款；违反其他法律、行政法规的，由有关主管部门依法处理</w:t>
            </w:r>
          </w:p>
        </w:tc>
        <w:tc>
          <w:tcPr>
            <w:tcW w:w="1417" w:type="dxa"/>
            <w:tcBorders>
              <w:top w:val="single" w:color="000000" w:sz="4" w:space="0"/>
              <w:left w:val="single" w:color="000000" w:sz="4" w:space="0"/>
              <w:bottom w:val="single" w:color="000000" w:sz="4" w:space="0"/>
              <w:right w:val="single" w:color="000000" w:sz="4" w:space="0"/>
            </w:tcBorders>
            <w:vAlign w:val="center"/>
          </w:tcPr>
          <w:p w14:paraId="427D933D">
            <w:pPr>
              <w:widowControl/>
              <w:spacing w:line="264" w:lineRule="auto"/>
              <w:jc w:val="center"/>
              <w:rPr>
                <w:rFonts w:hint="eastAsia" w:ascii="楷体" w:hAnsi="楷体" w:eastAsia="楷体" w:cs="宋体"/>
                <w:kern w:val="0"/>
                <w:sz w:val="22"/>
                <w:lang w:val="en-US" w:eastAsia="zh-CN"/>
              </w:rPr>
            </w:pPr>
          </w:p>
          <w:p w14:paraId="46BFA9E6">
            <w:pPr>
              <w:widowControl/>
              <w:spacing w:line="264" w:lineRule="auto"/>
              <w:jc w:val="center"/>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从轻</w:t>
            </w:r>
          </w:p>
          <w:p w14:paraId="1F1C22D6">
            <w:pPr>
              <w:widowControl/>
              <w:spacing w:line="264" w:lineRule="auto"/>
              <w:jc w:val="center"/>
              <w:rPr>
                <w:rFonts w:hint="eastAsia" w:ascii="楷体" w:hAnsi="楷体" w:eastAsia="楷体" w:cs="宋体"/>
                <w:kern w:val="0"/>
                <w:sz w:val="22"/>
                <w:lang w:val="en-US" w:eastAsia="zh-CN"/>
              </w:rPr>
            </w:pPr>
          </w:p>
        </w:tc>
        <w:tc>
          <w:tcPr>
            <w:tcW w:w="3329" w:type="dxa"/>
            <w:tcBorders>
              <w:top w:val="single" w:color="000000" w:sz="4" w:space="0"/>
              <w:left w:val="single" w:color="000000" w:sz="4" w:space="0"/>
              <w:bottom w:val="single" w:color="000000" w:sz="4" w:space="0"/>
              <w:right w:val="single" w:color="000000" w:sz="4" w:space="0"/>
            </w:tcBorders>
            <w:vAlign w:val="center"/>
          </w:tcPr>
          <w:p w14:paraId="68E110D5">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宋体"/>
                <w:kern w:val="0"/>
                <w:sz w:val="22"/>
                <w:lang w:val="en-US" w:eastAsia="zh-CN"/>
              </w:rPr>
            </w:pPr>
            <w:r>
              <w:rPr>
                <w:rFonts w:hint="eastAsia" w:ascii="楷体" w:hAnsi="楷体" w:eastAsia="楷体" w:cs="楷体"/>
                <w:b w:val="0"/>
                <w:bCs w:val="0"/>
                <w:color w:val="auto"/>
                <w:kern w:val="0"/>
                <w:sz w:val="22"/>
                <w:szCs w:val="22"/>
              </w:rPr>
              <w:t>约谈有关负责人</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1万</w:t>
            </w:r>
            <w:r>
              <w:rPr>
                <w:rFonts w:hint="eastAsia" w:ascii="楷体" w:hAnsi="楷体" w:eastAsia="楷体" w:cs="宋体"/>
                <w:kern w:val="0"/>
                <w:sz w:val="22"/>
                <w:highlight w:val="none"/>
              </w:rPr>
              <w:t>元以上</w:t>
            </w:r>
            <w:r>
              <w:rPr>
                <w:rFonts w:hint="eastAsia" w:ascii="楷体" w:hAnsi="楷体" w:eastAsia="楷体" w:cs="宋体"/>
                <w:kern w:val="0"/>
                <w:sz w:val="22"/>
                <w:highlight w:val="none"/>
                <w:lang w:val="en-US" w:eastAsia="zh-CN"/>
              </w:rPr>
              <w:t>3</w:t>
            </w:r>
            <w:r>
              <w:rPr>
                <w:rFonts w:hint="eastAsia" w:ascii="楷体" w:hAnsi="楷体" w:eastAsia="楷体" w:cs="宋体"/>
                <w:kern w:val="0"/>
                <w:sz w:val="22"/>
                <w:highlight w:val="none"/>
                <w:lang w:eastAsia="zh-CN"/>
              </w:rPr>
              <w:t>万元</w:t>
            </w:r>
            <w:r>
              <w:rPr>
                <w:rFonts w:hint="eastAsia" w:ascii="楷体" w:hAnsi="楷体" w:eastAsia="楷体" w:cs="宋体"/>
                <w:kern w:val="0"/>
                <w:sz w:val="22"/>
                <w:highlight w:val="none"/>
              </w:rPr>
              <w:t>以下标准罚款</w:t>
            </w:r>
          </w:p>
        </w:tc>
      </w:tr>
      <w:tr w14:paraId="22FBCEBC">
        <w:tblPrEx>
          <w:tblCellMar>
            <w:top w:w="0" w:type="dxa"/>
            <w:left w:w="108" w:type="dxa"/>
            <w:bottom w:w="0" w:type="dxa"/>
            <w:right w:w="108" w:type="dxa"/>
          </w:tblCellMar>
        </w:tblPrEx>
        <w:trPr>
          <w:trHeight w:val="1726" w:hRule="atLeast"/>
          <w:tblHeader/>
        </w:trPr>
        <w:tc>
          <w:tcPr>
            <w:tcW w:w="729" w:type="dxa"/>
            <w:vMerge w:val="continue"/>
            <w:tcBorders>
              <w:left w:val="single" w:color="000000" w:sz="4" w:space="0"/>
              <w:right w:val="single" w:color="000000" w:sz="4" w:space="0"/>
            </w:tcBorders>
            <w:vAlign w:val="center"/>
          </w:tcPr>
          <w:p w14:paraId="27A707D3">
            <w:pPr>
              <w:widowControl/>
              <w:ind w:firstLine="4" w:firstLineChars="2"/>
              <w:jc w:val="center"/>
            </w:pPr>
          </w:p>
        </w:tc>
        <w:tc>
          <w:tcPr>
            <w:tcW w:w="3160" w:type="dxa"/>
            <w:vMerge w:val="continue"/>
            <w:tcBorders>
              <w:left w:val="single" w:color="000000" w:sz="4" w:space="0"/>
              <w:right w:val="single" w:color="000000" w:sz="4" w:space="0"/>
            </w:tcBorders>
            <w:vAlign w:val="center"/>
          </w:tcPr>
          <w:p w14:paraId="70DB4017">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2036" w:type="dxa"/>
            <w:vMerge w:val="continue"/>
            <w:tcBorders>
              <w:left w:val="single" w:color="000000" w:sz="4" w:space="0"/>
              <w:right w:val="single" w:color="000000" w:sz="4" w:space="0"/>
            </w:tcBorders>
            <w:vAlign w:val="center"/>
          </w:tcPr>
          <w:p w14:paraId="7C75E53B">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3654" w:type="dxa"/>
            <w:vMerge w:val="continue"/>
            <w:tcBorders>
              <w:left w:val="single" w:color="000000" w:sz="4" w:space="0"/>
              <w:right w:val="single" w:color="000000" w:sz="4" w:space="0"/>
            </w:tcBorders>
            <w:vAlign w:val="center"/>
          </w:tcPr>
          <w:p w14:paraId="347D1088">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1417" w:type="dxa"/>
            <w:tcBorders>
              <w:top w:val="single" w:color="000000" w:sz="4" w:space="0"/>
              <w:left w:val="single" w:color="000000" w:sz="4" w:space="0"/>
              <w:right w:val="single" w:color="000000" w:sz="4" w:space="0"/>
            </w:tcBorders>
            <w:vAlign w:val="center"/>
          </w:tcPr>
          <w:p w14:paraId="78ECCE77">
            <w:pPr>
              <w:widowControl/>
              <w:spacing w:line="264" w:lineRule="auto"/>
              <w:jc w:val="center"/>
              <w:rPr>
                <w:rFonts w:hint="eastAsia" w:ascii="楷体" w:hAnsi="楷体" w:eastAsia="楷体" w:cs="宋体"/>
                <w:kern w:val="0"/>
                <w:sz w:val="22"/>
                <w:lang w:val="en-US" w:eastAsia="zh-CN"/>
              </w:rPr>
            </w:pPr>
          </w:p>
          <w:p w14:paraId="579881DC">
            <w:pPr>
              <w:widowControl/>
              <w:spacing w:line="264" w:lineRule="auto"/>
              <w:jc w:val="center"/>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一般</w:t>
            </w:r>
          </w:p>
          <w:p w14:paraId="7C51A14F">
            <w:pPr>
              <w:widowControl/>
              <w:spacing w:line="264" w:lineRule="auto"/>
              <w:jc w:val="center"/>
              <w:rPr>
                <w:rFonts w:hint="eastAsia" w:ascii="楷体" w:hAnsi="楷体" w:eastAsia="楷体" w:cs="宋体"/>
                <w:kern w:val="0"/>
                <w:sz w:val="22"/>
                <w:lang w:val="en-US" w:eastAsia="zh-CN"/>
              </w:rPr>
            </w:pPr>
          </w:p>
        </w:tc>
        <w:tc>
          <w:tcPr>
            <w:tcW w:w="3329" w:type="dxa"/>
            <w:tcBorders>
              <w:top w:val="single" w:color="000000" w:sz="4" w:space="0"/>
              <w:left w:val="single" w:color="000000" w:sz="4" w:space="0"/>
              <w:bottom w:val="single" w:color="000000" w:sz="4" w:space="0"/>
              <w:right w:val="single" w:color="000000" w:sz="4" w:space="0"/>
            </w:tcBorders>
            <w:vAlign w:val="center"/>
          </w:tcPr>
          <w:p w14:paraId="117E9444">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约谈有关负责人</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3万</w:t>
            </w:r>
            <w:r>
              <w:rPr>
                <w:rFonts w:hint="eastAsia" w:ascii="楷体" w:hAnsi="楷体" w:eastAsia="楷体" w:cs="宋体"/>
                <w:kern w:val="0"/>
                <w:sz w:val="22"/>
                <w:highlight w:val="none"/>
              </w:rPr>
              <w:t>元标准罚款</w:t>
            </w:r>
          </w:p>
        </w:tc>
      </w:tr>
      <w:tr w14:paraId="0DAFF72B">
        <w:tblPrEx>
          <w:tblCellMar>
            <w:top w:w="0" w:type="dxa"/>
            <w:left w:w="108" w:type="dxa"/>
            <w:bottom w:w="0" w:type="dxa"/>
            <w:right w:w="108" w:type="dxa"/>
          </w:tblCellMar>
        </w:tblPrEx>
        <w:trPr>
          <w:trHeight w:val="3160" w:hRule="atLeast"/>
          <w:tblHeader/>
        </w:trPr>
        <w:tc>
          <w:tcPr>
            <w:tcW w:w="729" w:type="dxa"/>
            <w:vMerge w:val="continue"/>
            <w:tcBorders>
              <w:left w:val="single" w:color="000000" w:sz="4" w:space="0"/>
              <w:bottom w:val="single" w:color="auto" w:sz="4" w:space="0"/>
              <w:right w:val="single" w:color="000000" w:sz="4" w:space="0"/>
            </w:tcBorders>
            <w:vAlign w:val="center"/>
          </w:tcPr>
          <w:p w14:paraId="4A9C79EC">
            <w:pPr>
              <w:widowControl/>
              <w:ind w:firstLine="4" w:firstLineChars="2"/>
              <w:jc w:val="center"/>
              <w:rPr>
                <w:rFonts w:hint="eastAsia" w:ascii="楷体" w:hAnsi="楷体" w:eastAsia="楷体" w:cs="楷体"/>
                <w:b w:val="0"/>
                <w:bCs w:val="0"/>
                <w:color w:val="auto"/>
                <w:kern w:val="0"/>
                <w:sz w:val="22"/>
                <w:szCs w:val="22"/>
              </w:rPr>
            </w:pPr>
          </w:p>
        </w:tc>
        <w:tc>
          <w:tcPr>
            <w:tcW w:w="3160" w:type="dxa"/>
            <w:vMerge w:val="continue"/>
            <w:tcBorders>
              <w:left w:val="single" w:color="000000" w:sz="4" w:space="0"/>
              <w:bottom w:val="single" w:color="auto" w:sz="4" w:space="0"/>
              <w:right w:val="single" w:color="000000" w:sz="4" w:space="0"/>
            </w:tcBorders>
            <w:vAlign w:val="center"/>
          </w:tcPr>
          <w:p w14:paraId="6D5C3CC6">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2036" w:type="dxa"/>
            <w:vMerge w:val="continue"/>
            <w:tcBorders>
              <w:left w:val="single" w:color="000000" w:sz="4" w:space="0"/>
              <w:bottom w:val="single" w:color="auto" w:sz="4" w:space="0"/>
              <w:right w:val="single" w:color="000000" w:sz="4" w:space="0"/>
            </w:tcBorders>
            <w:vAlign w:val="center"/>
          </w:tcPr>
          <w:p w14:paraId="18AA8CF0">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3654" w:type="dxa"/>
            <w:vMerge w:val="continue"/>
            <w:tcBorders>
              <w:left w:val="single" w:color="000000" w:sz="4" w:space="0"/>
              <w:bottom w:val="single" w:color="auto" w:sz="4" w:space="0"/>
              <w:right w:val="single" w:color="000000" w:sz="4" w:space="0"/>
            </w:tcBorders>
            <w:vAlign w:val="center"/>
          </w:tcPr>
          <w:p w14:paraId="69DA2877">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1417" w:type="dxa"/>
            <w:tcBorders>
              <w:top w:val="single" w:color="000000" w:sz="4" w:space="0"/>
              <w:left w:val="single" w:color="000000" w:sz="4" w:space="0"/>
              <w:bottom w:val="single" w:color="auto" w:sz="4" w:space="0"/>
              <w:right w:val="single" w:color="000000" w:sz="4" w:space="0"/>
            </w:tcBorders>
            <w:vAlign w:val="center"/>
          </w:tcPr>
          <w:p w14:paraId="135C9358">
            <w:pPr>
              <w:widowControl/>
              <w:spacing w:line="264" w:lineRule="auto"/>
              <w:jc w:val="center"/>
              <w:rPr>
                <w:rFonts w:hint="eastAsia" w:ascii="楷体" w:hAnsi="楷体" w:eastAsia="楷体" w:cs="宋体"/>
                <w:kern w:val="0"/>
                <w:sz w:val="22"/>
                <w:lang w:val="en-US" w:eastAsia="zh-CN"/>
              </w:rPr>
            </w:pPr>
          </w:p>
          <w:p w14:paraId="0D331949">
            <w:pPr>
              <w:widowControl/>
              <w:spacing w:line="264" w:lineRule="auto"/>
              <w:jc w:val="center"/>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从重</w:t>
            </w:r>
          </w:p>
          <w:p w14:paraId="71CC78FC">
            <w:pPr>
              <w:widowControl/>
              <w:spacing w:line="264" w:lineRule="auto"/>
              <w:jc w:val="center"/>
              <w:rPr>
                <w:rFonts w:hint="eastAsia" w:ascii="楷体" w:hAnsi="楷体" w:eastAsia="楷体" w:cs="宋体"/>
                <w:kern w:val="0"/>
                <w:sz w:val="22"/>
                <w:lang w:val="en-US" w:eastAsia="zh-CN"/>
              </w:rPr>
            </w:pPr>
          </w:p>
        </w:tc>
        <w:tc>
          <w:tcPr>
            <w:tcW w:w="3329" w:type="dxa"/>
            <w:tcBorders>
              <w:top w:val="single" w:color="000000" w:sz="4" w:space="0"/>
              <w:left w:val="single" w:color="000000" w:sz="4" w:space="0"/>
              <w:bottom w:val="single" w:color="auto" w:sz="4" w:space="0"/>
              <w:right w:val="single" w:color="000000" w:sz="4" w:space="0"/>
            </w:tcBorders>
            <w:vAlign w:val="center"/>
          </w:tcPr>
          <w:p w14:paraId="1539068F">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约谈有关负责人</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3万</w:t>
            </w:r>
            <w:r>
              <w:rPr>
                <w:rFonts w:hint="eastAsia" w:ascii="楷体" w:hAnsi="楷体" w:eastAsia="楷体" w:cs="宋体"/>
                <w:kern w:val="0"/>
                <w:sz w:val="22"/>
                <w:highlight w:val="none"/>
              </w:rPr>
              <w:t>元以上</w:t>
            </w:r>
            <w:r>
              <w:rPr>
                <w:rFonts w:hint="eastAsia" w:ascii="楷体" w:hAnsi="楷体" w:eastAsia="楷体" w:cs="宋体"/>
                <w:kern w:val="0"/>
                <w:sz w:val="22"/>
                <w:highlight w:val="none"/>
                <w:lang w:val="en-US" w:eastAsia="zh-CN"/>
              </w:rPr>
              <w:t>至5</w:t>
            </w:r>
            <w:r>
              <w:rPr>
                <w:rFonts w:hint="eastAsia" w:ascii="楷体" w:hAnsi="楷体" w:eastAsia="楷体" w:cs="宋体"/>
                <w:kern w:val="0"/>
                <w:sz w:val="22"/>
                <w:highlight w:val="none"/>
                <w:lang w:eastAsia="zh-CN"/>
              </w:rPr>
              <w:t>万元</w:t>
            </w:r>
            <w:r>
              <w:rPr>
                <w:rFonts w:hint="eastAsia" w:ascii="楷体" w:hAnsi="楷体" w:eastAsia="楷体" w:cs="宋体"/>
                <w:kern w:val="0"/>
                <w:sz w:val="22"/>
                <w:highlight w:val="none"/>
              </w:rPr>
              <w:t>标准罚款</w:t>
            </w:r>
          </w:p>
        </w:tc>
      </w:tr>
      <w:tr w14:paraId="328D3814">
        <w:tblPrEx>
          <w:tblCellMar>
            <w:top w:w="0" w:type="dxa"/>
            <w:left w:w="108" w:type="dxa"/>
            <w:bottom w:w="0" w:type="dxa"/>
            <w:right w:w="108" w:type="dxa"/>
          </w:tblCellMar>
        </w:tblPrEx>
        <w:trPr>
          <w:trHeight w:val="3234" w:hRule="atLeast"/>
          <w:tblHeader/>
        </w:trPr>
        <w:tc>
          <w:tcPr>
            <w:tcW w:w="729" w:type="dxa"/>
            <w:vMerge w:val="restart"/>
            <w:tcBorders>
              <w:top w:val="single" w:color="auto" w:sz="4" w:space="0"/>
              <w:left w:val="single" w:color="auto" w:sz="4" w:space="0"/>
              <w:bottom w:val="single" w:color="auto" w:sz="4" w:space="0"/>
              <w:right w:val="single" w:color="auto" w:sz="4" w:space="0"/>
            </w:tcBorders>
            <w:vAlign w:val="center"/>
          </w:tcPr>
          <w:p w14:paraId="07A41F59">
            <w:pPr>
              <w:widowControl/>
              <w:ind w:firstLine="4" w:firstLineChars="2"/>
              <w:jc w:val="center"/>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val="en-US" w:eastAsia="zh-CN"/>
              </w:rPr>
              <w:t>3</w:t>
            </w:r>
          </w:p>
        </w:tc>
        <w:tc>
          <w:tcPr>
            <w:tcW w:w="3160" w:type="dxa"/>
            <w:vMerge w:val="restart"/>
            <w:tcBorders>
              <w:top w:val="single" w:color="auto" w:sz="4" w:space="0"/>
              <w:left w:val="single" w:color="auto" w:sz="4" w:space="0"/>
              <w:bottom w:val="single" w:color="auto" w:sz="4" w:space="0"/>
              <w:right w:val="single" w:color="auto" w:sz="4" w:space="0"/>
            </w:tcBorders>
            <w:vAlign w:val="center"/>
          </w:tcPr>
          <w:p w14:paraId="39ECAF7A">
            <w:pPr>
              <w:pStyle w:val="2"/>
              <w:keepNext w:val="0"/>
              <w:keepLines w:val="0"/>
              <w:pageBreakBefore w:val="0"/>
              <w:widowControl/>
              <w:kinsoku/>
              <w:wordWrap/>
              <w:overflowPunct/>
              <w:topLinePunct w:val="0"/>
              <w:bidi w:val="0"/>
              <w:adjustRightInd/>
              <w:snapToGrid/>
              <w:spacing w:line="260" w:lineRule="exact"/>
              <w:textAlignment w:val="auto"/>
              <w:rPr>
                <w:rFonts w:hint="eastAsia" w:eastAsia="楷体"/>
                <w:lang w:val="en-US" w:eastAsia="zh-CN"/>
              </w:rPr>
            </w:pPr>
            <w:r>
              <w:rPr>
                <w:rFonts w:hint="eastAsia" w:ascii="楷体" w:hAnsi="楷体" w:eastAsia="楷体" w:cs="楷体"/>
                <w:b w:val="0"/>
                <w:bCs w:val="0"/>
                <w:color w:val="auto"/>
                <w:kern w:val="0"/>
                <w:sz w:val="22"/>
                <w:szCs w:val="22"/>
              </w:rPr>
              <w:t>定点医药机构分解住院、挂床住院；违反诊疗规范过度诊疗、过度检查、分解处方、超量开药、重复开药或者提供其他不必要的医药服务；重复收费、超标准收费、分解项目收费</w:t>
            </w: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rPr>
              <w:t>串换药品、医用耗材、诊疗项目和服务设施；为参保人员利用其享受医疗保障待遇的机会转卖药品，接受返还现金、实物或者获得其他非法利益提供便利；将不属于医疗保障基金支付范围的医药费用纳入医疗保障基金结算；造成医疗保障基金损失的其他违法行为</w:t>
            </w:r>
            <w:r>
              <w:rPr>
                <w:rFonts w:hint="eastAsia" w:ascii="楷体" w:hAnsi="楷体" w:eastAsia="楷体" w:cs="楷体"/>
                <w:b w:val="0"/>
                <w:bCs w:val="0"/>
                <w:color w:val="auto"/>
                <w:kern w:val="0"/>
                <w:sz w:val="22"/>
                <w:szCs w:val="22"/>
                <w:lang w:val="en-US" w:eastAsia="zh-CN"/>
              </w:rPr>
              <w:t>的</w:t>
            </w:r>
          </w:p>
        </w:tc>
        <w:tc>
          <w:tcPr>
            <w:tcW w:w="2036" w:type="dxa"/>
            <w:vMerge w:val="restart"/>
            <w:tcBorders>
              <w:top w:val="single" w:color="auto" w:sz="4" w:space="0"/>
              <w:left w:val="single" w:color="auto" w:sz="4" w:space="0"/>
              <w:bottom w:val="single" w:color="auto" w:sz="4" w:space="0"/>
              <w:right w:val="single" w:color="auto" w:sz="4" w:space="0"/>
            </w:tcBorders>
            <w:vAlign w:val="center"/>
          </w:tcPr>
          <w:p w14:paraId="70DC6369">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14:paraId="361942B9">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第</w:t>
            </w:r>
            <w:r>
              <w:rPr>
                <w:rFonts w:hint="eastAsia" w:ascii="楷体" w:hAnsi="楷体" w:eastAsia="楷体" w:cs="楷体"/>
                <w:b w:val="0"/>
                <w:bCs w:val="0"/>
                <w:color w:val="auto"/>
                <w:kern w:val="0"/>
                <w:sz w:val="22"/>
                <w:szCs w:val="22"/>
                <w:lang w:val="en-US" w:eastAsia="zh-CN"/>
              </w:rPr>
              <w:t>38</w:t>
            </w:r>
            <w:r>
              <w:rPr>
                <w:rFonts w:hint="eastAsia" w:ascii="楷体" w:hAnsi="楷体" w:eastAsia="楷体" w:cs="楷体"/>
                <w:b w:val="0"/>
                <w:bCs w:val="0"/>
                <w:color w:val="auto"/>
                <w:kern w:val="0"/>
                <w:sz w:val="22"/>
                <w:szCs w:val="22"/>
                <w:lang w:eastAsia="zh-CN"/>
              </w:rPr>
              <w:t>条</w:t>
            </w:r>
            <w:r>
              <w:rPr>
                <w:rFonts w:hint="eastAsia" w:ascii="楷体" w:hAnsi="楷体" w:eastAsia="楷体" w:cs="楷体"/>
                <w:b w:val="0"/>
                <w:bCs w:val="0"/>
                <w:color w:val="auto"/>
                <w:kern w:val="0"/>
                <w:sz w:val="22"/>
                <w:szCs w:val="22"/>
                <w:lang w:val="en-US" w:eastAsia="zh-CN"/>
              </w:rPr>
              <w:t xml:space="preserve">       </w:t>
            </w:r>
          </w:p>
        </w:tc>
        <w:tc>
          <w:tcPr>
            <w:tcW w:w="3654" w:type="dxa"/>
            <w:vMerge w:val="restart"/>
            <w:tcBorders>
              <w:top w:val="single" w:color="auto" w:sz="4" w:space="0"/>
              <w:left w:val="single" w:color="auto" w:sz="4" w:space="0"/>
              <w:bottom w:val="single" w:color="auto" w:sz="4" w:space="0"/>
              <w:right w:val="single" w:color="auto" w:sz="4" w:space="0"/>
            </w:tcBorders>
            <w:vAlign w:val="center"/>
          </w:tcPr>
          <w:p w14:paraId="77A3EFEA">
            <w:pPr>
              <w:keepNext w:val="0"/>
              <w:keepLines w:val="0"/>
              <w:pageBreakBefore w:val="0"/>
              <w:widowControl/>
              <w:kinsoku/>
              <w:wordWrap/>
              <w:overflowPunct/>
              <w:topLinePunct w:val="0"/>
              <w:bidi w:val="0"/>
              <w:adjustRightInd/>
              <w:snapToGrid/>
              <w:spacing w:line="260" w:lineRule="exact"/>
              <w:jc w:val="left"/>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lang w:eastAsia="zh-CN"/>
              </w:rPr>
              <w:t>未发现以骗取医疗保障基金为目的：</w:t>
            </w:r>
            <w:r>
              <w:rPr>
                <w:rFonts w:hint="eastAsia" w:ascii="楷体" w:hAnsi="楷体" w:eastAsia="楷体" w:cs="楷体"/>
                <w:b w:val="0"/>
                <w:bCs w:val="0"/>
                <w:color w:val="auto"/>
                <w:kern w:val="0"/>
                <w:sz w:val="22"/>
                <w:szCs w:val="22"/>
                <w:lang w:eastAsia="zh-CN"/>
              </w:rPr>
              <w:t>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14:paraId="2E58FD36">
            <w:pPr>
              <w:pStyle w:val="2"/>
              <w:keepNext w:val="0"/>
              <w:keepLines w:val="0"/>
              <w:pageBreakBefore w:val="0"/>
              <w:widowControl/>
              <w:kinsoku/>
              <w:wordWrap/>
              <w:overflowPunct/>
              <w:topLinePunct w:val="0"/>
              <w:bidi w:val="0"/>
              <w:adjustRightInd/>
              <w:snapToGrid/>
              <w:spacing w:line="260" w:lineRule="exact"/>
              <w:textAlignment w:val="auto"/>
              <w:rPr>
                <w:rFonts w:hint="eastAsia"/>
              </w:rPr>
            </w:pPr>
          </w:p>
        </w:tc>
        <w:tc>
          <w:tcPr>
            <w:tcW w:w="1417" w:type="dxa"/>
            <w:tcBorders>
              <w:top w:val="single" w:color="auto" w:sz="4" w:space="0"/>
              <w:left w:val="single" w:color="auto" w:sz="4" w:space="0"/>
              <w:right w:val="single" w:color="auto" w:sz="4" w:space="0"/>
            </w:tcBorders>
            <w:vAlign w:val="center"/>
          </w:tcPr>
          <w:p w14:paraId="278D3E04">
            <w:pPr>
              <w:keepNext w:val="0"/>
              <w:keepLines w:val="0"/>
              <w:pageBreakBefore w:val="0"/>
              <w:widowControl/>
              <w:numPr>
                <w:ilvl w:val="0"/>
                <w:numId w:val="0"/>
              </w:numPr>
              <w:kinsoku/>
              <w:wordWrap/>
              <w:overflowPunct/>
              <w:topLinePunct w:val="0"/>
              <w:autoSpaceDE w:val="0"/>
              <w:autoSpaceDN w:val="0"/>
              <w:bidi w:val="0"/>
              <w:adjustRightInd/>
              <w:snapToGrid/>
              <w:spacing w:line="260" w:lineRule="exact"/>
              <w:jc w:val="center"/>
              <w:textAlignment w:val="auto"/>
              <w:outlineLvl w:val="9"/>
              <w:rPr>
                <w:rFonts w:hint="eastAsia" w:ascii="楷体" w:hAnsi="楷体" w:eastAsia="楷体" w:cs="宋体"/>
                <w:kern w:val="0"/>
                <w:sz w:val="22"/>
                <w:lang w:eastAsia="zh-CN"/>
              </w:rPr>
            </w:pPr>
            <w:r>
              <w:rPr>
                <w:rFonts w:hint="eastAsia" w:ascii="楷体" w:hAnsi="楷体" w:eastAsia="楷体" w:cs="楷体"/>
                <w:b w:val="0"/>
                <w:bCs w:val="0"/>
                <w:color w:val="auto"/>
                <w:kern w:val="0"/>
                <w:sz w:val="22"/>
                <w:szCs w:val="22"/>
                <w:lang w:val="en-US" w:eastAsia="zh-CN"/>
              </w:rPr>
              <w:t>从轻</w:t>
            </w:r>
          </w:p>
        </w:tc>
        <w:tc>
          <w:tcPr>
            <w:tcW w:w="3329" w:type="dxa"/>
            <w:tcBorders>
              <w:top w:val="single" w:color="auto" w:sz="4" w:space="0"/>
              <w:left w:val="single" w:color="auto" w:sz="4" w:space="0"/>
              <w:bottom w:val="single" w:color="000000" w:sz="4" w:space="0"/>
              <w:right w:val="single" w:color="auto" w:sz="4" w:space="0"/>
            </w:tcBorders>
            <w:vAlign w:val="center"/>
          </w:tcPr>
          <w:p w14:paraId="1ED3AA5E">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约谈有关负责人、</w:t>
            </w:r>
            <w:r>
              <w:rPr>
                <w:rFonts w:hint="eastAsia" w:ascii="楷体" w:hAnsi="楷体" w:eastAsia="楷体" w:cs="宋体"/>
                <w:kern w:val="0"/>
                <w:sz w:val="22"/>
              </w:rPr>
              <w:t>按照</w:t>
            </w:r>
            <w:r>
              <w:rPr>
                <w:rFonts w:hint="eastAsia" w:ascii="楷体" w:hAnsi="楷体" w:eastAsia="楷体" w:cs="宋体"/>
                <w:kern w:val="0"/>
                <w:sz w:val="22"/>
                <w:lang w:val="en-US" w:eastAsia="zh-CN"/>
              </w:rPr>
              <w:t>1</w:t>
            </w:r>
            <w:r>
              <w:rPr>
                <w:rFonts w:hint="eastAsia" w:ascii="楷体" w:hAnsi="楷体" w:eastAsia="楷体" w:cs="宋体"/>
                <w:kern w:val="0"/>
                <w:sz w:val="22"/>
              </w:rPr>
              <w:t>倍以上</w:t>
            </w:r>
            <w:r>
              <w:rPr>
                <w:rFonts w:hint="eastAsia" w:ascii="楷体" w:hAnsi="楷体" w:eastAsia="楷体" w:cs="宋体"/>
                <w:kern w:val="0"/>
                <w:sz w:val="22"/>
                <w:lang w:val="en-US" w:eastAsia="zh-CN"/>
              </w:rPr>
              <w:t>1.5</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r>
      <w:tr w14:paraId="2C3954B2">
        <w:tblPrEx>
          <w:tblCellMar>
            <w:top w:w="0" w:type="dxa"/>
            <w:left w:w="108" w:type="dxa"/>
            <w:bottom w:w="0" w:type="dxa"/>
            <w:right w:w="108" w:type="dxa"/>
          </w:tblCellMar>
        </w:tblPrEx>
        <w:trPr>
          <w:trHeight w:val="2073" w:hRule="atLeast"/>
          <w:tblHeader/>
        </w:trPr>
        <w:tc>
          <w:tcPr>
            <w:tcW w:w="729" w:type="dxa"/>
            <w:vMerge w:val="continue"/>
            <w:tcBorders>
              <w:top w:val="single" w:color="000000" w:sz="4" w:space="0"/>
              <w:left w:val="single" w:color="auto" w:sz="4" w:space="0"/>
              <w:bottom w:val="single" w:color="000000" w:sz="4" w:space="0"/>
              <w:right w:val="single" w:color="000000" w:sz="4" w:space="0"/>
            </w:tcBorders>
            <w:vAlign w:val="center"/>
          </w:tcPr>
          <w:p w14:paraId="0A390F0C">
            <w:pPr>
              <w:widowControl/>
              <w:ind w:firstLine="4" w:firstLineChars="2"/>
              <w:jc w:val="center"/>
              <w:rPr>
                <w:rFonts w:hint="eastAsia" w:ascii="楷体" w:hAnsi="楷体" w:eastAsia="楷体" w:cs="楷体"/>
                <w:b w:val="0"/>
                <w:bCs w:val="0"/>
                <w:color w:val="auto"/>
                <w:kern w:val="0"/>
                <w:sz w:val="22"/>
                <w:szCs w:val="22"/>
                <w:lang w:val="en-US" w:eastAsia="zh-CN"/>
              </w:rP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14:paraId="2E0603C7">
            <w:pPr>
              <w:pStyle w:val="2"/>
              <w:keepNext w:val="0"/>
              <w:keepLines w:val="0"/>
              <w:pageBreakBefore w:val="0"/>
              <w:widowControl/>
              <w:kinsoku/>
              <w:wordWrap/>
              <w:overflowPunct/>
              <w:topLinePunct w:val="0"/>
              <w:bidi w:val="0"/>
              <w:adjustRightInd/>
              <w:snapToGrid/>
              <w:spacing w:line="260" w:lineRule="exact"/>
              <w:textAlignment w:val="auto"/>
              <w:rPr>
                <w:rFonts w:hint="eastAsia" w:ascii="楷体" w:hAnsi="楷体" w:eastAsia="楷体" w:cs="楷体"/>
                <w:b w:val="0"/>
                <w:bCs w:val="0"/>
                <w:color w:val="auto"/>
                <w:kern w:val="0"/>
                <w:sz w:val="22"/>
                <w:szCs w:val="22"/>
              </w:rPr>
            </w:pPr>
          </w:p>
        </w:tc>
        <w:tc>
          <w:tcPr>
            <w:tcW w:w="2036" w:type="dxa"/>
            <w:vMerge w:val="continue"/>
            <w:tcBorders>
              <w:top w:val="single" w:color="000000" w:sz="4" w:space="0"/>
              <w:left w:val="single" w:color="000000" w:sz="4" w:space="0"/>
              <w:bottom w:val="single" w:color="000000" w:sz="4" w:space="0"/>
              <w:right w:val="single" w:color="000000" w:sz="4" w:space="0"/>
            </w:tcBorders>
            <w:vAlign w:val="center"/>
          </w:tcPr>
          <w:p w14:paraId="067DE049">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楷体"/>
                <w:b w:val="0"/>
                <w:bCs w:val="0"/>
                <w:color w:val="auto"/>
                <w:kern w:val="0"/>
                <w:sz w:val="22"/>
                <w:szCs w:val="22"/>
                <w:lang w:eastAsia="zh-CN"/>
              </w:rPr>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14:paraId="2D55DA2F">
            <w:pPr>
              <w:keepNext w:val="0"/>
              <w:keepLines w:val="0"/>
              <w:pageBreakBefore w:val="0"/>
              <w:widowControl/>
              <w:kinsoku/>
              <w:wordWrap/>
              <w:overflowPunct/>
              <w:topLinePunct w:val="0"/>
              <w:bidi w:val="0"/>
              <w:adjustRightInd/>
              <w:snapToGrid/>
              <w:spacing w:line="260" w:lineRule="exact"/>
              <w:ind w:firstLine="4" w:firstLineChars="2"/>
              <w:jc w:val="left"/>
              <w:textAlignment w:val="auto"/>
              <w:rPr>
                <w:rFonts w:hint="eastAsia" w:ascii="楷体" w:hAnsi="楷体" w:eastAsia="楷体" w:cs="楷体"/>
                <w:b w:val="0"/>
                <w:bCs w:val="0"/>
                <w:color w:val="auto"/>
                <w:kern w:val="0"/>
                <w:sz w:val="22"/>
                <w:szCs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49FF181">
            <w:pPr>
              <w:keepNext w:val="0"/>
              <w:keepLines w:val="0"/>
              <w:pageBreakBefore w:val="0"/>
              <w:widowControl/>
              <w:numPr>
                <w:ilvl w:val="0"/>
                <w:numId w:val="0"/>
              </w:numPr>
              <w:kinsoku/>
              <w:wordWrap/>
              <w:overflowPunct/>
              <w:topLinePunct w:val="0"/>
              <w:autoSpaceDE w:val="0"/>
              <w:autoSpaceDN w:val="0"/>
              <w:bidi w:val="0"/>
              <w:adjustRightInd/>
              <w:snapToGrid/>
              <w:spacing w:line="260" w:lineRule="exact"/>
              <w:jc w:val="center"/>
              <w:textAlignment w:val="auto"/>
              <w:outlineLvl w:val="9"/>
              <w:rPr>
                <w:rFonts w:hint="default"/>
                <w:lang w:val="en-US" w:eastAsia="zh-CN"/>
              </w:rPr>
            </w:pPr>
            <w:r>
              <w:rPr>
                <w:rFonts w:hint="eastAsia" w:ascii="楷体" w:hAnsi="楷体" w:eastAsia="楷体" w:cs="宋体"/>
                <w:kern w:val="0"/>
                <w:sz w:val="22"/>
                <w:lang w:val="en-US" w:eastAsia="zh-CN"/>
              </w:rPr>
              <w:t>一般</w:t>
            </w:r>
          </w:p>
        </w:tc>
        <w:tc>
          <w:tcPr>
            <w:tcW w:w="3329" w:type="dxa"/>
            <w:tcBorders>
              <w:top w:val="single" w:color="000000" w:sz="4" w:space="0"/>
              <w:left w:val="single" w:color="000000" w:sz="4" w:space="0"/>
              <w:bottom w:val="single" w:color="000000" w:sz="4" w:space="0"/>
              <w:right w:val="single" w:color="000000" w:sz="4" w:space="0"/>
            </w:tcBorders>
            <w:vAlign w:val="center"/>
          </w:tcPr>
          <w:p w14:paraId="5BACB85D">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val="en-US" w:eastAsia="zh-CN"/>
              </w:rPr>
              <w:t>1.</w:t>
            </w:r>
            <w:r>
              <w:rPr>
                <w:rFonts w:hint="eastAsia" w:ascii="楷体" w:hAnsi="楷体" w:eastAsia="楷体" w:cs="楷体"/>
                <w:b w:val="0"/>
                <w:bCs w:val="0"/>
                <w:color w:val="auto"/>
                <w:kern w:val="0"/>
                <w:sz w:val="22"/>
                <w:szCs w:val="22"/>
                <w:lang w:eastAsia="zh-CN"/>
              </w:rPr>
              <w:t>约谈有关负责人、</w:t>
            </w:r>
            <w:r>
              <w:rPr>
                <w:rFonts w:hint="eastAsia" w:ascii="楷体" w:hAnsi="楷体" w:eastAsia="楷体" w:cs="宋体"/>
                <w:kern w:val="0"/>
                <w:sz w:val="22"/>
              </w:rPr>
              <w:t>按照</w:t>
            </w:r>
            <w:r>
              <w:rPr>
                <w:rFonts w:hint="eastAsia" w:ascii="楷体" w:hAnsi="楷体" w:eastAsia="楷体" w:cs="宋体"/>
                <w:kern w:val="0"/>
                <w:sz w:val="22"/>
                <w:lang w:val="en-US" w:eastAsia="zh-CN"/>
              </w:rPr>
              <w:t>1.5</w:t>
            </w:r>
            <w:r>
              <w:rPr>
                <w:rFonts w:hint="eastAsia" w:ascii="楷体" w:hAnsi="楷体" w:eastAsia="楷体" w:cs="宋体"/>
                <w:kern w:val="0"/>
                <w:sz w:val="22"/>
              </w:rPr>
              <w:t>倍标准罚款</w:t>
            </w:r>
            <w:r>
              <w:rPr>
                <w:rFonts w:hint="eastAsia" w:ascii="楷体" w:hAnsi="楷体" w:eastAsia="楷体" w:cs="宋体"/>
                <w:kern w:val="0"/>
                <w:sz w:val="22"/>
                <w:lang w:eastAsia="zh-CN"/>
              </w:rPr>
              <w:t>；</w:t>
            </w:r>
            <w:r>
              <w:rPr>
                <w:rFonts w:hint="eastAsia" w:ascii="楷体" w:hAnsi="楷体" w:eastAsia="楷体" w:cs="宋体"/>
                <w:kern w:val="0"/>
                <w:sz w:val="22"/>
                <w:lang w:val="en-US" w:eastAsia="zh-CN"/>
              </w:rPr>
              <w:t>2.</w:t>
            </w:r>
            <w:r>
              <w:rPr>
                <w:rFonts w:hint="eastAsia" w:ascii="楷体" w:hAnsi="楷体" w:eastAsia="楷体" w:cs="楷体"/>
                <w:b w:val="0"/>
                <w:bCs w:val="0"/>
                <w:color w:val="auto"/>
                <w:kern w:val="0"/>
                <w:sz w:val="22"/>
                <w:szCs w:val="22"/>
                <w:lang w:eastAsia="zh-CN"/>
              </w:rPr>
              <w:t>拒不改正或者造成严重后果的，约谈有关负责人、</w:t>
            </w:r>
            <w:r>
              <w:rPr>
                <w:rFonts w:hint="eastAsia" w:ascii="楷体" w:hAnsi="楷体" w:eastAsia="楷体" w:cs="宋体"/>
                <w:kern w:val="0"/>
                <w:sz w:val="22"/>
              </w:rPr>
              <w:t>按照</w:t>
            </w:r>
            <w:r>
              <w:rPr>
                <w:rFonts w:hint="eastAsia" w:ascii="楷体" w:hAnsi="楷体" w:eastAsia="楷体" w:cs="宋体"/>
                <w:kern w:val="0"/>
                <w:sz w:val="22"/>
                <w:lang w:val="en-US" w:eastAsia="zh-CN"/>
              </w:rPr>
              <w:t>1.5</w:t>
            </w:r>
            <w:r>
              <w:rPr>
                <w:rFonts w:hint="eastAsia" w:ascii="楷体" w:hAnsi="楷体" w:eastAsia="楷体" w:cs="宋体"/>
                <w:kern w:val="0"/>
                <w:sz w:val="22"/>
              </w:rPr>
              <w:t>倍标准罚款</w:t>
            </w:r>
            <w:r>
              <w:rPr>
                <w:rFonts w:hint="eastAsia" w:ascii="楷体" w:hAnsi="楷体" w:eastAsia="楷体" w:cs="宋体"/>
                <w:kern w:val="0"/>
                <w:sz w:val="22"/>
                <w:lang w:eastAsia="zh-CN"/>
              </w:rPr>
              <w:t>，</w:t>
            </w:r>
            <w:r>
              <w:rPr>
                <w:rFonts w:hint="eastAsia" w:ascii="楷体" w:hAnsi="楷体" w:eastAsia="楷体" w:cs="宋体"/>
                <w:kern w:val="0"/>
                <w:sz w:val="22"/>
                <w:lang w:val="en-US" w:eastAsia="zh-CN"/>
              </w:rPr>
              <w:t>并</w:t>
            </w:r>
            <w:r>
              <w:rPr>
                <w:rFonts w:hint="eastAsia" w:ascii="楷体" w:hAnsi="楷体" w:eastAsia="楷体" w:cs="楷体"/>
                <w:b w:val="0"/>
                <w:bCs w:val="0"/>
                <w:color w:val="auto"/>
                <w:kern w:val="0"/>
                <w:sz w:val="22"/>
                <w:szCs w:val="22"/>
              </w:rPr>
              <w:t>责令定点医药机构暂停相关责任部门6个月以上</w:t>
            </w:r>
            <w:r>
              <w:rPr>
                <w:rFonts w:hint="eastAsia" w:ascii="楷体" w:hAnsi="楷体" w:eastAsia="楷体" w:cs="楷体"/>
                <w:b w:val="0"/>
                <w:bCs w:val="0"/>
                <w:color w:val="auto"/>
                <w:kern w:val="0"/>
                <w:sz w:val="22"/>
                <w:szCs w:val="22"/>
                <w:lang w:val="en-US" w:eastAsia="zh-CN"/>
              </w:rPr>
              <w:t>9个月</w:t>
            </w:r>
            <w:r>
              <w:rPr>
                <w:rFonts w:hint="eastAsia" w:ascii="楷体" w:hAnsi="楷体" w:eastAsia="楷体" w:cs="楷体"/>
                <w:b w:val="0"/>
                <w:bCs w:val="0"/>
                <w:color w:val="auto"/>
                <w:kern w:val="0"/>
                <w:sz w:val="22"/>
                <w:szCs w:val="22"/>
              </w:rPr>
              <w:t>以下涉及医疗保障基金使用的医药服务</w:t>
            </w:r>
          </w:p>
        </w:tc>
      </w:tr>
      <w:tr w14:paraId="71BD58BD">
        <w:tblPrEx>
          <w:tblCellMar>
            <w:top w:w="0" w:type="dxa"/>
            <w:left w:w="108" w:type="dxa"/>
            <w:bottom w:w="0" w:type="dxa"/>
            <w:right w:w="108" w:type="dxa"/>
          </w:tblCellMar>
        </w:tblPrEx>
        <w:trPr>
          <w:trHeight w:val="2718" w:hRule="atLeast"/>
          <w:tblHeader/>
        </w:trPr>
        <w:tc>
          <w:tcPr>
            <w:tcW w:w="729" w:type="dxa"/>
            <w:vMerge w:val="continue"/>
            <w:tcBorders>
              <w:top w:val="single" w:color="000000" w:sz="4" w:space="0"/>
              <w:left w:val="single" w:color="auto" w:sz="4" w:space="0"/>
              <w:bottom w:val="single" w:color="000000" w:sz="4" w:space="0"/>
              <w:right w:val="single" w:color="000000" w:sz="4" w:space="0"/>
            </w:tcBorders>
            <w:vAlign w:val="center"/>
          </w:tcPr>
          <w:p w14:paraId="173C9C32">
            <w:pPr>
              <w:widowControl/>
              <w:ind w:firstLine="4" w:firstLineChars="2"/>
              <w:jc w:val="center"/>
              <w:rPr>
                <w:rFonts w:hint="eastAsia" w:ascii="楷体" w:hAnsi="楷体" w:eastAsia="楷体" w:cs="楷体"/>
                <w:b w:val="0"/>
                <w:bCs w:val="0"/>
                <w:color w:val="auto"/>
                <w:kern w:val="0"/>
                <w:sz w:val="22"/>
                <w:szCs w:val="22"/>
                <w:lang w:val="en-US" w:eastAsia="zh-CN"/>
              </w:rP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14:paraId="7F994E74">
            <w:pPr>
              <w:pStyle w:val="2"/>
              <w:keepNext w:val="0"/>
              <w:keepLines w:val="0"/>
              <w:pageBreakBefore w:val="0"/>
              <w:widowControl/>
              <w:kinsoku/>
              <w:wordWrap/>
              <w:overflowPunct/>
              <w:topLinePunct w:val="0"/>
              <w:bidi w:val="0"/>
              <w:adjustRightInd/>
              <w:snapToGrid/>
              <w:spacing w:line="260" w:lineRule="exact"/>
              <w:textAlignment w:val="auto"/>
              <w:rPr>
                <w:rFonts w:hint="eastAsia" w:ascii="楷体" w:hAnsi="楷体" w:eastAsia="楷体" w:cs="楷体"/>
                <w:b w:val="0"/>
                <w:bCs w:val="0"/>
                <w:color w:val="auto"/>
                <w:kern w:val="0"/>
                <w:sz w:val="22"/>
                <w:szCs w:val="22"/>
              </w:rPr>
            </w:pPr>
          </w:p>
        </w:tc>
        <w:tc>
          <w:tcPr>
            <w:tcW w:w="2036" w:type="dxa"/>
            <w:vMerge w:val="continue"/>
            <w:tcBorders>
              <w:top w:val="single" w:color="000000" w:sz="4" w:space="0"/>
              <w:left w:val="single" w:color="000000" w:sz="4" w:space="0"/>
              <w:bottom w:val="single" w:color="000000" w:sz="4" w:space="0"/>
              <w:right w:val="single" w:color="000000" w:sz="4" w:space="0"/>
            </w:tcBorders>
            <w:vAlign w:val="center"/>
          </w:tcPr>
          <w:p w14:paraId="0EC0D79E">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楷体"/>
                <w:b w:val="0"/>
                <w:bCs w:val="0"/>
                <w:color w:val="auto"/>
                <w:kern w:val="0"/>
                <w:sz w:val="22"/>
                <w:szCs w:val="22"/>
                <w:lang w:eastAsia="zh-CN"/>
              </w:rPr>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14:paraId="1123E3B2">
            <w:pPr>
              <w:keepNext w:val="0"/>
              <w:keepLines w:val="0"/>
              <w:pageBreakBefore w:val="0"/>
              <w:widowControl/>
              <w:kinsoku/>
              <w:wordWrap/>
              <w:overflowPunct/>
              <w:topLinePunct w:val="0"/>
              <w:bidi w:val="0"/>
              <w:adjustRightInd/>
              <w:snapToGrid/>
              <w:spacing w:line="260" w:lineRule="exact"/>
              <w:ind w:firstLine="4" w:firstLineChars="2"/>
              <w:jc w:val="left"/>
              <w:textAlignment w:val="auto"/>
              <w:rPr>
                <w:rFonts w:hint="eastAsia" w:ascii="楷体" w:hAnsi="楷体" w:eastAsia="楷体" w:cs="楷体"/>
                <w:b w:val="0"/>
                <w:bCs w:val="0"/>
                <w:color w:val="auto"/>
                <w:kern w:val="0"/>
                <w:sz w:val="22"/>
                <w:szCs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7E7E8AA">
            <w:pPr>
              <w:keepNext w:val="0"/>
              <w:keepLines w:val="0"/>
              <w:pageBreakBefore w:val="0"/>
              <w:widowControl/>
              <w:numPr>
                <w:ilvl w:val="0"/>
                <w:numId w:val="0"/>
              </w:numPr>
              <w:kinsoku/>
              <w:wordWrap/>
              <w:overflowPunct/>
              <w:topLinePunct w:val="0"/>
              <w:autoSpaceDE w:val="0"/>
              <w:autoSpaceDN w:val="0"/>
              <w:bidi w:val="0"/>
              <w:adjustRightInd/>
              <w:snapToGrid/>
              <w:spacing w:line="260" w:lineRule="exact"/>
              <w:jc w:val="center"/>
              <w:textAlignment w:val="auto"/>
              <w:outlineLvl w:val="9"/>
              <w:rPr>
                <w:rFonts w:hint="eastAsia" w:ascii="楷体" w:hAnsi="楷体" w:eastAsia="楷体" w:cs="宋体"/>
                <w:kern w:val="0"/>
                <w:sz w:val="22"/>
                <w:lang w:eastAsia="zh-CN"/>
              </w:rPr>
            </w:pPr>
            <w:r>
              <w:rPr>
                <w:rFonts w:hint="eastAsia" w:ascii="楷体" w:hAnsi="楷体" w:eastAsia="楷体" w:cs="宋体"/>
                <w:kern w:val="0"/>
                <w:sz w:val="22"/>
                <w:lang w:val="en-US" w:eastAsia="zh-CN"/>
              </w:rPr>
              <w:t>从重</w:t>
            </w:r>
          </w:p>
        </w:tc>
        <w:tc>
          <w:tcPr>
            <w:tcW w:w="3329" w:type="dxa"/>
            <w:tcBorders>
              <w:top w:val="single" w:color="000000" w:sz="4" w:space="0"/>
              <w:left w:val="single" w:color="000000" w:sz="4" w:space="0"/>
              <w:bottom w:val="single" w:color="000000" w:sz="4" w:space="0"/>
              <w:right w:val="single" w:color="000000" w:sz="4" w:space="0"/>
            </w:tcBorders>
            <w:vAlign w:val="center"/>
          </w:tcPr>
          <w:p w14:paraId="33834B2E">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val="en-US" w:eastAsia="zh-CN"/>
              </w:rPr>
              <w:t>1.</w:t>
            </w:r>
            <w:r>
              <w:rPr>
                <w:rFonts w:hint="eastAsia" w:ascii="楷体" w:hAnsi="楷体" w:eastAsia="楷体" w:cs="楷体"/>
                <w:b w:val="0"/>
                <w:bCs w:val="0"/>
                <w:color w:val="auto"/>
                <w:kern w:val="0"/>
                <w:sz w:val="22"/>
                <w:szCs w:val="22"/>
                <w:lang w:eastAsia="zh-CN"/>
              </w:rPr>
              <w:t>约谈有关负责人、</w:t>
            </w:r>
            <w:r>
              <w:rPr>
                <w:rFonts w:hint="eastAsia" w:ascii="楷体" w:hAnsi="楷体" w:eastAsia="楷体" w:cs="宋体"/>
                <w:kern w:val="0"/>
                <w:sz w:val="22"/>
              </w:rPr>
              <w:t>按照</w:t>
            </w:r>
            <w:r>
              <w:rPr>
                <w:rFonts w:hint="eastAsia" w:ascii="楷体" w:hAnsi="楷体" w:eastAsia="楷体" w:cs="宋体"/>
                <w:kern w:val="0"/>
                <w:sz w:val="22"/>
                <w:lang w:val="en-US" w:eastAsia="zh-CN"/>
              </w:rPr>
              <w:t>1.5</w:t>
            </w:r>
            <w:r>
              <w:rPr>
                <w:rFonts w:hint="eastAsia" w:ascii="楷体" w:hAnsi="楷体" w:eastAsia="楷体" w:cs="宋体"/>
                <w:kern w:val="0"/>
                <w:sz w:val="22"/>
              </w:rPr>
              <w:t>倍</w:t>
            </w:r>
            <w:r>
              <w:rPr>
                <w:rFonts w:hint="eastAsia" w:ascii="楷体" w:hAnsi="楷体" w:eastAsia="楷体" w:cs="宋体"/>
                <w:kern w:val="0"/>
                <w:sz w:val="22"/>
                <w:lang w:val="en-US" w:eastAsia="zh-CN"/>
              </w:rPr>
              <w:t>以上至2倍</w:t>
            </w:r>
            <w:r>
              <w:rPr>
                <w:rFonts w:hint="eastAsia" w:ascii="楷体" w:hAnsi="楷体" w:eastAsia="楷体" w:cs="宋体"/>
                <w:kern w:val="0"/>
                <w:sz w:val="22"/>
              </w:rPr>
              <w:t>标准罚款</w:t>
            </w:r>
            <w:r>
              <w:rPr>
                <w:rFonts w:hint="eastAsia" w:ascii="楷体" w:hAnsi="楷体" w:eastAsia="楷体" w:cs="宋体"/>
                <w:kern w:val="0"/>
                <w:sz w:val="22"/>
                <w:lang w:val="en-US" w:eastAsia="zh-CN"/>
              </w:rPr>
              <w:t>2.</w:t>
            </w:r>
            <w:r>
              <w:rPr>
                <w:rFonts w:hint="eastAsia" w:ascii="楷体" w:hAnsi="楷体" w:eastAsia="楷体" w:cs="楷体"/>
                <w:b w:val="0"/>
                <w:bCs w:val="0"/>
                <w:color w:val="auto"/>
                <w:kern w:val="0"/>
                <w:sz w:val="22"/>
                <w:szCs w:val="22"/>
                <w:lang w:eastAsia="zh-CN"/>
              </w:rPr>
              <w:t>拒不改正或者造成严重后果的，约谈有关负责人、</w:t>
            </w:r>
            <w:r>
              <w:rPr>
                <w:rFonts w:hint="eastAsia" w:ascii="楷体" w:hAnsi="楷体" w:eastAsia="楷体" w:cs="宋体"/>
                <w:kern w:val="0"/>
                <w:sz w:val="22"/>
              </w:rPr>
              <w:t>按照</w:t>
            </w:r>
            <w:r>
              <w:rPr>
                <w:rFonts w:hint="eastAsia" w:ascii="楷体" w:hAnsi="楷体" w:eastAsia="楷体" w:cs="宋体"/>
                <w:kern w:val="0"/>
                <w:sz w:val="22"/>
                <w:lang w:val="en-US" w:eastAsia="zh-CN"/>
              </w:rPr>
              <w:t>1.5</w:t>
            </w:r>
            <w:r>
              <w:rPr>
                <w:rFonts w:hint="eastAsia" w:ascii="楷体" w:hAnsi="楷体" w:eastAsia="楷体" w:cs="宋体"/>
                <w:kern w:val="0"/>
                <w:sz w:val="22"/>
              </w:rPr>
              <w:t>倍</w:t>
            </w:r>
            <w:r>
              <w:rPr>
                <w:rFonts w:hint="eastAsia" w:ascii="楷体" w:hAnsi="楷体" w:eastAsia="楷体" w:cs="宋体"/>
                <w:kern w:val="0"/>
                <w:sz w:val="22"/>
                <w:lang w:val="en-US" w:eastAsia="zh-CN"/>
              </w:rPr>
              <w:t>以上至2倍</w:t>
            </w:r>
            <w:r>
              <w:rPr>
                <w:rFonts w:hint="eastAsia" w:ascii="楷体" w:hAnsi="楷体" w:eastAsia="楷体" w:cs="宋体"/>
                <w:kern w:val="0"/>
                <w:sz w:val="22"/>
              </w:rPr>
              <w:t>标准罚款</w:t>
            </w:r>
            <w:r>
              <w:rPr>
                <w:rFonts w:hint="eastAsia" w:ascii="楷体" w:hAnsi="楷体" w:eastAsia="楷体" w:cs="宋体"/>
                <w:kern w:val="0"/>
                <w:sz w:val="22"/>
                <w:lang w:eastAsia="zh-CN"/>
              </w:rPr>
              <w:t>，</w:t>
            </w:r>
            <w:r>
              <w:rPr>
                <w:rFonts w:hint="eastAsia" w:ascii="楷体" w:hAnsi="楷体" w:eastAsia="楷体" w:cs="宋体"/>
                <w:kern w:val="0"/>
                <w:sz w:val="22"/>
                <w:lang w:val="en-US" w:eastAsia="zh-CN"/>
              </w:rPr>
              <w:t>并</w:t>
            </w:r>
            <w:r>
              <w:rPr>
                <w:rFonts w:hint="eastAsia" w:ascii="楷体" w:hAnsi="楷体" w:eastAsia="楷体" w:cs="楷体"/>
                <w:b w:val="0"/>
                <w:bCs w:val="0"/>
                <w:color w:val="auto"/>
                <w:kern w:val="0"/>
                <w:sz w:val="22"/>
                <w:szCs w:val="22"/>
              </w:rPr>
              <w:t>责令定点医药机构暂停相关责任部门</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个月以上</w:t>
            </w:r>
            <w:r>
              <w:rPr>
                <w:rFonts w:hint="eastAsia" w:ascii="楷体" w:hAnsi="楷体" w:eastAsia="楷体" w:cs="楷体"/>
                <w:b w:val="0"/>
                <w:bCs w:val="0"/>
                <w:color w:val="auto"/>
                <w:kern w:val="0"/>
                <w:sz w:val="22"/>
                <w:szCs w:val="22"/>
                <w:lang w:val="en-US" w:eastAsia="zh-CN"/>
              </w:rPr>
              <w:t>至12个月</w:t>
            </w:r>
            <w:r>
              <w:rPr>
                <w:rFonts w:hint="eastAsia" w:ascii="楷体" w:hAnsi="楷体" w:eastAsia="楷体" w:cs="楷体"/>
                <w:b w:val="0"/>
                <w:bCs w:val="0"/>
                <w:color w:val="auto"/>
                <w:kern w:val="0"/>
                <w:sz w:val="22"/>
                <w:szCs w:val="22"/>
              </w:rPr>
              <w:t>涉及医疗保障基金使用的医药服务</w:t>
            </w:r>
          </w:p>
        </w:tc>
      </w:tr>
      <w:tr w14:paraId="75F0622B">
        <w:tblPrEx>
          <w:tblCellMar>
            <w:top w:w="0" w:type="dxa"/>
            <w:left w:w="108" w:type="dxa"/>
            <w:bottom w:w="0" w:type="dxa"/>
            <w:right w:w="108" w:type="dxa"/>
          </w:tblCellMar>
        </w:tblPrEx>
        <w:trPr>
          <w:trHeight w:val="1511" w:hRule="atLeast"/>
          <w:tblHead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7FAFEBDC">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4</w:t>
            </w:r>
          </w:p>
        </w:tc>
        <w:tc>
          <w:tcPr>
            <w:tcW w:w="3160" w:type="dxa"/>
            <w:vMerge w:val="restart"/>
            <w:tcBorders>
              <w:top w:val="single" w:color="000000" w:sz="4" w:space="0"/>
              <w:left w:val="single" w:color="000000" w:sz="4" w:space="0"/>
              <w:bottom w:val="single" w:color="000000" w:sz="4" w:space="0"/>
              <w:right w:val="single" w:color="000000" w:sz="4" w:space="0"/>
            </w:tcBorders>
            <w:vAlign w:val="center"/>
          </w:tcPr>
          <w:p w14:paraId="4DA9967C">
            <w:pPr>
              <w:keepNext w:val="0"/>
              <w:keepLines w:val="0"/>
              <w:pageBreakBefore w:val="0"/>
              <w:widowControl/>
              <w:kinsoku/>
              <w:wordWrap/>
              <w:overflowPunct/>
              <w:topLinePunct w:val="0"/>
              <w:bidi w:val="0"/>
              <w:adjustRightInd/>
              <w:snapToGrid/>
              <w:spacing w:line="260" w:lineRule="exact"/>
              <w:jc w:val="left"/>
              <w:textAlignment w:val="auto"/>
              <w:rPr>
                <w:rFonts w:hint="default"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rPr>
              <w:t>定点医药机构诱导、协助他人冒名或者虚假就医、购药，提供虚假证明材料，或者串通他人虚开费用单据；伪造、变造、隐匿、涂改、销毁医学文书、医学证明、会计凭证、电子信息等有关资料；虚构医药服务项目；其他骗取医疗保障基金支出的行为</w:t>
            </w: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lang w:val="en-US" w:eastAsia="zh-CN"/>
              </w:rPr>
              <w:t>以骗取医疗保障基金为目的，实施了《条例》第三十八条规定行为之一，造成医疗保障基金损失的</w:t>
            </w:r>
          </w:p>
        </w:tc>
        <w:tc>
          <w:tcPr>
            <w:tcW w:w="2036" w:type="dxa"/>
            <w:vMerge w:val="restart"/>
            <w:tcBorders>
              <w:top w:val="single" w:color="000000" w:sz="4" w:space="0"/>
              <w:left w:val="single" w:color="000000" w:sz="4" w:space="0"/>
              <w:bottom w:val="single" w:color="000000" w:sz="4" w:space="0"/>
              <w:right w:val="single" w:color="000000" w:sz="4" w:space="0"/>
            </w:tcBorders>
            <w:vAlign w:val="center"/>
          </w:tcPr>
          <w:p w14:paraId="2535A2D9">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p>
          <w:p w14:paraId="0F58C719">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《社会保险法》第87、88条</w:t>
            </w:r>
          </w:p>
          <w:p w14:paraId="5A155127">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《基本医疗卫生与健康促进法》第104条</w:t>
            </w:r>
          </w:p>
          <w:p w14:paraId="79945C97">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14:paraId="062C768A">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default"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eastAsia="zh-CN"/>
              </w:rPr>
              <w:t>第</w:t>
            </w:r>
            <w:r>
              <w:rPr>
                <w:rFonts w:hint="eastAsia" w:ascii="楷体" w:hAnsi="楷体" w:eastAsia="楷体" w:cs="楷体"/>
                <w:b w:val="0"/>
                <w:bCs w:val="0"/>
                <w:color w:val="auto"/>
                <w:kern w:val="0"/>
                <w:sz w:val="22"/>
                <w:szCs w:val="22"/>
                <w:lang w:val="en-US" w:eastAsia="zh-CN"/>
              </w:rPr>
              <w:t>38</w:t>
            </w:r>
            <w:r>
              <w:rPr>
                <w:rFonts w:hint="eastAsia" w:ascii="楷体" w:hAnsi="楷体" w:eastAsia="楷体" w:cs="楷体"/>
                <w:b w:val="0"/>
                <w:bCs w:val="0"/>
                <w:color w:val="auto"/>
                <w:kern w:val="0"/>
                <w:sz w:val="22"/>
                <w:szCs w:val="22"/>
                <w:lang w:eastAsia="zh-CN"/>
              </w:rPr>
              <w:t>条、</w:t>
            </w:r>
            <w:r>
              <w:rPr>
                <w:rFonts w:hint="eastAsia" w:ascii="楷体" w:hAnsi="楷体" w:eastAsia="楷体" w:cs="楷体"/>
                <w:b w:val="0"/>
                <w:bCs w:val="0"/>
                <w:color w:val="auto"/>
                <w:kern w:val="0"/>
                <w:sz w:val="22"/>
                <w:szCs w:val="22"/>
                <w:lang w:val="en-US" w:eastAsia="zh-CN"/>
              </w:rPr>
              <w:t>第40条</w:t>
            </w:r>
          </w:p>
        </w:tc>
        <w:tc>
          <w:tcPr>
            <w:tcW w:w="3654" w:type="dxa"/>
            <w:vMerge w:val="restart"/>
            <w:tcBorders>
              <w:top w:val="single" w:color="000000" w:sz="4" w:space="0"/>
              <w:left w:val="single" w:color="000000" w:sz="4" w:space="0"/>
              <w:bottom w:val="single" w:color="000000" w:sz="4" w:space="0"/>
              <w:right w:val="single" w:color="000000" w:sz="4" w:space="0"/>
            </w:tcBorders>
            <w:vAlign w:val="center"/>
          </w:tcPr>
          <w:p w14:paraId="6983AC21">
            <w:pPr>
              <w:keepNext w:val="0"/>
              <w:keepLines w:val="0"/>
              <w:pageBreakBefore w:val="0"/>
              <w:widowControl/>
              <w:kinsoku/>
              <w:wordWrap/>
              <w:overflowPunct/>
              <w:topLinePunct w:val="0"/>
              <w:bidi w:val="0"/>
              <w:adjustRightInd/>
              <w:snapToGrid/>
              <w:spacing w:line="260" w:lineRule="exact"/>
              <w:ind w:firstLine="4" w:firstLineChars="2"/>
              <w:jc w:val="left"/>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tc>
        <w:tc>
          <w:tcPr>
            <w:tcW w:w="1417" w:type="dxa"/>
            <w:tcBorders>
              <w:top w:val="single" w:color="000000" w:sz="4" w:space="0"/>
              <w:left w:val="single" w:color="000000" w:sz="4" w:space="0"/>
              <w:bottom w:val="single" w:color="000000" w:sz="4" w:space="0"/>
              <w:right w:val="single" w:color="000000" w:sz="4" w:space="0"/>
            </w:tcBorders>
            <w:vAlign w:val="center"/>
          </w:tcPr>
          <w:p w14:paraId="5A446EFF">
            <w:pPr>
              <w:keepNext w:val="0"/>
              <w:keepLines w:val="0"/>
              <w:pageBreakBefore w:val="0"/>
              <w:widowControl/>
              <w:numPr>
                <w:ilvl w:val="0"/>
                <w:numId w:val="0"/>
              </w:numPr>
              <w:kinsoku/>
              <w:wordWrap/>
              <w:overflowPunct/>
              <w:topLinePunct w:val="0"/>
              <w:autoSpaceDE w:val="0"/>
              <w:autoSpaceDN w:val="0"/>
              <w:bidi w:val="0"/>
              <w:adjustRightInd/>
              <w:snapToGrid/>
              <w:spacing w:line="260" w:lineRule="exact"/>
              <w:jc w:val="center"/>
              <w:textAlignment w:val="auto"/>
              <w:outlineLvl w:val="9"/>
              <w:rPr>
                <w:rFonts w:hint="eastAsia" w:ascii="楷体" w:hAnsi="楷体" w:eastAsia="楷体" w:cs="宋体"/>
                <w:kern w:val="0"/>
                <w:sz w:val="22"/>
              </w:rPr>
            </w:pPr>
            <w:r>
              <w:rPr>
                <w:rFonts w:hint="eastAsia" w:ascii="楷体" w:hAnsi="楷体" w:eastAsia="楷体" w:cs="楷体"/>
                <w:b w:val="0"/>
                <w:bCs w:val="0"/>
                <w:color w:val="auto"/>
                <w:kern w:val="0"/>
                <w:sz w:val="22"/>
                <w:szCs w:val="22"/>
                <w:lang w:val="en-US" w:eastAsia="zh-CN"/>
              </w:rPr>
              <w:t>从轻</w:t>
            </w:r>
          </w:p>
        </w:tc>
        <w:tc>
          <w:tcPr>
            <w:tcW w:w="3329" w:type="dxa"/>
            <w:tcBorders>
              <w:top w:val="single" w:color="000000" w:sz="4" w:space="0"/>
              <w:left w:val="single" w:color="000000" w:sz="4" w:space="0"/>
              <w:bottom w:val="single" w:color="000000" w:sz="4" w:space="0"/>
              <w:right w:val="single" w:color="000000" w:sz="4" w:space="0"/>
            </w:tcBorders>
            <w:vAlign w:val="center"/>
          </w:tcPr>
          <w:p w14:paraId="5DF532E0">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2</w:t>
            </w:r>
            <w:r>
              <w:rPr>
                <w:rFonts w:hint="eastAsia" w:ascii="楷体" w:hAnsi="楷体" w:eastAsia="楷体" w:cs="宋体"/>
                <w:kern w:val="0"/>
                <w:sz w:val="22"/>
              </w:rPr>
              <w:t>倍以上</w:t>
            </w:r>
            <w:r>
              <w:rPr>
                <w:rFonts w:hint="eastAsia" w:ascii="楷体" w:hAnsi="楷体" w:eastAsia="楷体" w:cs="宋体"/>
                <w:kern w:val="0"/>
                <w:sz w:val="22"/>
                <w:lang w:val="en-US" w:eastAsia="zh-CN"/>
              </w:rPr>
              <w:t>3.5</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责令定点医药机构暂停相关责任部门6个月以上</w:t>
            </w:r>
            <w:r>
              <w:rPr>
                <w:rFonts w:hint="eastAsia" w:ascii="楷体" w:hAnsi="楷体" w:eastAsia="楷体" w:cs="楷体"/>
                <w:b w:val="0"/>
                <w:bCs w:val="0"/>
                <w:color w:val="auto"/>
                <w:kern w:val="0"/>
                <w:sz w:val="22"/>
                <w:szCs w:val="22"/>
                <w:lang w:val="en-US" w:eastAsia="zh-CN"/>
              </w:rPr>
              <w:t>9个月</w:t>
            </w:r>
            <w:r>
              <w:rPr>
                <w:rFonts w:hint="eastAsia" w:ascii="楷体" w:hAnsi="楷体" w:eastAsia="楷体" w:cs="楷体"/>
                <w:b w:val="0"/>
                <w:bCs w:val="0"/>
                <w:color w:val="auto"/>
                <w:kern w:val="0"/>
                <w:sz w:val="22"/>
                <w:szCs w:val="22"/>
              </w:rPr>
              <w:t>以下涉及医疗保障基金使用的医药服务</w:t>
            </w:r>
          </w:p>
        </w:tc>
      </w:tr>
      <w:tr w14:paraId="5091D39C">
        <w:tblPrEx>
          <w:tblCellMar>
            <w:top w:w="0" w:type="dxa"/>
            <w:left w:w="108" w:type="dxa"/>
            <w:bottom w:w="0" w:type="dxa"/>
            <w:right w:w="108" w:type="dxa"/>
          </w:tblCellMar>
        </w:tblPrEx>
        <w:trPr>
          <w:trHeight w:val="1666" w:hRule="atLeast"/>
          <w:tblHead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40E73FDE">
            <w:pPr>
              <w:widowControl/>
              <w:ind w:firstLine="4" w:firstLineChars="2"/>
              <w:jc w:val="cente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14:paraId="1CC5E96E">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2036" w:type="dxa"/>
            <w:vMerge w:val="continue"/>
            <w:tcBorders>
              <w:top w:val="single" w:color="000000" w:sz="4" w:space="0"/>
              <w:left w:val="single" w:color="000000" w:sz="4" w:space="0"/>
              <w:bottom w:val="single" w:color="000000" w:sz="4" w:space="0"/>
              <w:right w:val="single" w:color="000000" w:sz="4" w:space="0"/>
            </w:tcBorders>
            <w:vAlign w:val="center"/>
          </w:tcPr>
          <w:p w14:paraId="37021501">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14:paraId="00C54FEC">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1417" w:type="dxa"/>
            <w:tcBorders>
              <w:top w:val="single" w:color="000000" w:sz="4" w:space="0"/>
              <w:left w:val="single" w:color="000000" w:sz="4" w:space="0"/>
              <w:bottom w:val="single" w:color="000000" w:sz="4" w:space="0"/>
              <w:right w:val="single" w:color="000000" w:sz="4" w:space="0"/>
            </w:tcBorders>
            <w:vAlign w:val="center"/>
          </w:tcPr>
          <w:p w14:paraId="7705A7D2">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rPr>
            </w:pPr>
            <w:r>
              <w:rPr>
                <w:rFonts w:hint="eastAsia" w:ascii="楷体" w:hAnsi="楷体" w:eastAsia="楷体" w:cs="宋体"/>
                <w:kern w:val="0"/>
                <w:sz w:val="22"/>
                <w:lang w:val="en-US" w:eastAsia="zh-CN"/>
              </w:rPr>
              <w:t>一般</w:t>
            </w:r>
          </w:p>
        </w:tc>
        <w:tc>
          <w:tcPr>
            <w:tcW w:w="3329" w:type="dxa"/>
            <w:tcBorders>
              <w:top w:val="single" w:color="000000" w:sz="4" w:space="0"/>
              <w:left w:val="single" w:color="000000" w:sz="4" w:space="0"/>
              <w:bottom w:val="single" w:color="000000" w:sz="4" w:space="0"/>
              <w:right w:val="single" w:color="000000" w:sz="4" w:space="0"/>
            </w:tcBorders>
            <w:vAlign w:val="center"/>
          </w:tcPr>
          <w:p w14:paraId="1EF97282">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3.5</w:t>
            </w:r>
            <w:r>
              <w:rPr>
                <w:rFonts w:hint="eastAsia" w:ascii="楷体" w:hAnsi="楷体" w:eastAsia="楷体" w:cs="宋体"/>
                <w:kern w:val="0"/>
                <w:sz w:val="22"/>
              </w:rPr>
              <w:t>倍标准罚款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责令定点医药机构暂停相关责任部门</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个月以上1年以下涉及医疗保障基金使用的医药服务</w:t>
            </w:r>
          </w:p>
        </w:tc>
      </w:tr>
      <w:tr w14:paraId="3B269044">
        <w:tblPrEx>
          <w:tblCellMar>
            <w:top w:w="0" w:type="dxa"/>
            <w:left w:w="108" w:type="dxa"/>
            <w:bottom w:w="0" w:type="dxa"/>
            <w:right w:w="108" w:type="dxa"/>
          </w:tblCellMar>
        </w:tblPrEx>
        <w:trPr>
          <w:trHeight w:val="2089" w:hRule="atLeast"/>
          <w:tblHead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47E12BE5">
            <w:pPr>
              <w:widowControl/>
              <w:ind w:firstLine="4" w:firstLineChars="2"/>
              <w:jc w:val="center"/>
              <w:rPr>
                <w:rFonts w:hint="eastAsia" w:ascii="楷体" w:hAnsi="楷体" w:eastAsia="楷体" w:cs="楷体"/>
                <w:b w:val="0"/>
                <w:bCs w:val="0"/>
                <w:color w:val="auto"/>
                <w:kern w:val="0"/>
                <w:sz w:val="22"/>
                <w:szCs w:val="22"/>
              </w:rP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14:paraId="4DDC4B1A">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2036" w:type="dxa"/>
            <w:vMerge w:val="continue"/>
            <w:tcBorders>
              <w:top w:val="single" w:color="000000" w:sz="4" w:space="0"/>
              <w:left w:val="single" w:color="000000" w:sz="4" w:space="0"/>
              <w:bottom w:val="single" w:color="000000" w:sz="4" w:space="0"/>
              <w:right w:val="single" w:color="000000" w:sz="4" w:space="0"/>
            </w:tcBorders>
            <w:vAlign w:val="center"/>
          </w:tcPr>
          <w:p w14:paraId="684C309B">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14:paraId="41170EE4">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9D1DC66">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rPr>
            </w:pPr>
            <w:r>
              <w:rPr>
                <w:rFonts w:hint="eastAsia" w:ascii="楷体" w:hAnsi="楷体" w:eastAsia="楷体" w:cs="宋体"/>
                <w:kern w:val="0"/>
                <w:sz w:val="22"/>
                <w:lang w:val="en-US" w:eastAsia="zh-CN"/>
              </w:rPr>
              <w:t>从重</w:t>
            </w:r>
          </w:p>
        </w:tc>
        <w:tc>
          <w:tcPr>
            <w:tcW w:w="3329" w:type="dxa"/>
            <w:tcBorders>
              <w:top w:val="single" w:color="000000" w:sz="4" w:space="0"/>
              <w:left w:val="single" w:color="000000" w:sz="4" w:space="0"/>
              <w:bottom w:val="single" w:color="000000" w:sz="4" w:space="0"/>
              <w:right w:val="single" w:color="000000" w:sz="4" w:space="0"/>
            </w:tcBorders>
            <w:vAlign w:val="center"/>
          </w:tcPr>
          <w:p w14:paraId="7ED29A5E">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lang w:val="en-US"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3.5</w:t>
            </w:r>
            <w:r>
              <w:rPr>
                <w:rFonts w:hint="eastAsia" w:ascii="楷体" w:hAnsi="楷体" w:eastAsia="楷体" w:cs="宋体"/>
                <w:kern w:val="0"/>
                <w:sz w:val="22"/>
              </w:rPr>
              <w:t>倍以上</w:t>
            </w:r>
            <w:r>
              <w:rPr>
                <w:rFonts w:hint="eastAsia" w:ascii="楷体" w:hAnsi="楷体" w:eastAsia="楷体" w:cs="宋体"/>
                <w:kern w:val="0"/>
                <w:sz w:val="22"/>
                <w:lang w:val="en-US" w:eastAsia="zh-CN"/>
              </w:rPr>
              <w:t>至5</w:t>
            </w:r>
            <w:r>
              <w:rPr>
                <w:rFonts w:hint="eastAsia" w:ascii="楷体" w:hAnsi="楷体" w:eastAsia="楷体" w:cs="宋体"/>
                <w:kern w:val="0"/>
                <w:sz w:val="22"/>
              </w:rPr>
              <w:t>倍标准罚款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由医疗保障经办机构解除服务协议</w:t>
            </w:r>
            <w:r>
              <w:rPr>
                <w:rFonts w:hint="eastAsia" w:ascii="楷体" w:hAnsi="楷体" w:eastAsia="楷体" w:cs="楷体"/>
                <w:b w:val="0"/>
                <w:bCs w:val="0"/>
                <w:color w:val="auto"/>
                <w:kern w:val="0"/>
                <w:sz w:val="22"/>
                <w:szCs w:val="22"/>
                <w:lang w:val="en-US" w:eastAsia="zh-CN"/>
              </w:rPr>
              <w:t>;</w:t>
            </w:r>
            <w:r>
              <w:rPr>
                <w:rFonts w:hint="eastAsia" w:ascii="楷体" w:hAnsi="楷体" w:eastAsia="楷体" w:cs="楷体"/>
                <w:b w:val="0"/>
                <w:bCs w:val="0"/>
                <w:color w:val="auto"/>
                <w:kern w:val="0"/>
                <w:sz w:val="22"/>
                <w:szCs w:val="22"/>
              </w:rPr>
              <w:t>有执业资格的，由有关主管部门依法吊销执业资格</w:t>
            </w:r>
            <w:r>
              <w:rPr>
                <w:rFonts w:hint="eastAsia" w:ascii="楷体" w:hAnsi="楷体" w:eastAsia="楷体" w:cs="楷体"/>
                <w:b w:val="0"/>
                <w:bCs w:val="0"/>
                <w:color w:val="auto"/>
                <w:kern w:val="0"/>
                <w:sz w:val="22"/>
                <w:szCs w:val="22"/>
                <w:lang w:eastAsia="zh-CN"/>
              </w:rPr>
              <w:t>。</w:t>
            </w:r>
          </w:p>
        </w:tc>
      </w:tr>
      <w:tr w14:paraId="7B8A63DB">
        <w:tblPrEx>
          <w:tblCellMar>
            <w:top w:w="0" w:type="dxa"/>
            <w:left w:w="108" w:type="dxa"/>
            <w:bottom w:w="0" w:type="dxa"/>
            <w:right w:w="108" w:type="dxa"/>
          </w:tblCellMar>
        </w:tblPrEx>
        <w:trPr>
          <w:trHeight w:val="868" w:hRule="atLeast"/>
          <w:tblHead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58ECD0A9">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5</w:t>
            </w:r>
          </w:p>
        </w:tc>
        <w:tc>
          <w:tcPr>
            <w:tcW w:w="3160" w:type="dxa"/>
            <w:vMerge w:val="restart"/>
            <w:tcBorders>
              <w:top w:val="single" w:color="000000" w:sz="4" w:space="0"/>
              <w:left w:val="single" w:color="000000" w:sz="4" w:space="0"/>
              <w:bottom w:val="single" w:color="000000" w:sz="4" w:space="0"/>
              <w:right w:val="single" w:color="000000" w:sz="4" w:space="0"/>
            </w:tcBorders>
            <w:vAlign w:val="center"/>
          </w:tcPr>
          <w:p w14:paraId="0ACE723C">
            <w:pPr>
              <w:keepNext w:val="0"/>
              <w:keepLines w:val="0"/>
              <w:pageBreakBefore w:val="0"/>
              <w:widowControl/>
              <w:kinsoku/>
              <w:wordWrap/>
              <w:overflowPunct/>
              <w:topLinePunct w:val="0"/>
              <w:bidi w:val="0"/>
              <w:adjustRightInd/>
              <w:snapToGrid/>
              <w:spacing w:line="260" w:lineRule="exact"/>
              <w:jc w:val="left"/>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个人将本人的医疗保障凭证交由他人冒名使用；重复享受医疗保障待遇；利用享受医疗保障待遇的机会转卖药品，接受返还现金、实物或者获得其他非法利益</w:t>
            </w:r>
          </w:p>
        </w:tc>
        <w:tc>
          <w:tcPr>
            <w:tcW w:w="2036" w:type="dxa"/>
            <w:vMerge w:val="restart"/>
            <w:tcBorders>
              <w:top w:val="single" w:color="000000" w:sz="4" w:space="0"/>
              <w:left w:val="single" w:color="000000" w:sz="4" w:space="0"/>
              <w:bottom w:val="single" w:color="000000" w:sz="4" w:space="0"/>
              <w:right w:val="single" w:color="000000" w:sz="4" w:space="0"/>
            </w:tcBorders>
            <w:vAlign w:val="center"/>
          </w:tcPr>
          <w:p w14:paraId="56BA6422">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bookmarkStart w:id="0" w:name="_GoBack"/>
            <w:bookmarkEnd w:id="0"/>
            <w:r>
              <w:rPr>
                <w:rFonts w:hint="eastAsia" w:ascii="楷体" w:hAnsi="楷体" w:eastAsia="楷体" w:cs="楷体"/>
                <w:b w:val="0"/>
                <w:bCs w:val="0"/>
                <w:color w:val="auto"/>
                <w:kern w:val="0"/>
                <w:sz w:val="22"/>
                <w:szCs w:val="22"/>
                <w:lang w:eastAsia="zh-CN"/>
              </w:rPr>
              <w:t>《社会保险法》第88条</w:t>
            </w:r>
          </w:p>
          <w:p w14:paraId="15BA748E">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《基本医疗卫生与健康促进法》第104条</w:t>
            </w:r>
          </w:p>
          <w:p w14:paraId="19966058">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《医疗保障基金使用监督管理条例》第41条</w:t>
            </w:r>
          </w:p>
        </w:tc>
        <w:tc>
          <w:tcPr>
            <w:tcW w:w="3654" w:type="dxa"/>
            <w:vMerge w:val="restart"/>
            <w:tcBorders>
              <w:top w:val="single" w:color="000000" w:sz="4" w:space="0"/>
              <w:left w:val="single" w:color="000000" w:sz="4" w:space="0"/>
              <w:bottom w:val="single" w:color="000000" w:sz="4" w:space="0"/>
              <w:right w:val="single" w:color="000000" w:sz="4" w:space="0"/>
            </w:tcBorders>
            <w:vAlign w:val="center"/>
          </w:tcPr>
          <w:p w14:paraId="59AF290E">
            <w:pPr>
              <w:keepNext w:val="0"/>
              <w:keepLines w:val="0"/>
              <w:pageBreakBefore w:val="0"/>
              <w:widowControl/>
              <w:kinsoku/>
              <w:wordWrap/>
              <w:overflowPunct/>
              <w:topLinePunct w:val="0"/>
              <w:bidi w:val="0"/>
              <w:adjustRightInd/>
              <w:snapToGrid/>
              <w:spacing w:line="260" w:lineRule="exact"/>
              <w:ind w:firstLine="4" w:firstLineChars="2"/>
              <w:jc w:val="left"/>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由医疗保障行政部门责令改正；造成医疗保障基金损失的，责令退回；属于参保人员的，暂停其医疗费用联网结算3个月至12个月</w:t>
            </w:r>
          </w:p>
        </w:tc>
        <w:tc>
          <w:tcPr>
            <w:tcW w:w="1417" w:type="dxa"/>
            <w:tcBorders>
              <w:top w:val="single" w:color="000000" w:sz="4" w:space="0"/>
              <w:left w:val="single" w:color="000000" w:sz="4" w:space="0"/>
              <w:bottom w:val="single" w:color="000000" w:sz="4" w:space="0"/>
              <w:right w:val="single" w:color="000000" w:sz="4" w:space="0"/>
            </w:tcBorders>
            <w:vAlign w:val="center"/>
          </w:tcPr>
          <w:p w14:paraId="3B0C9D65">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rPr>
            </w:pPr>
            <w:r>
              <w:rPr>
                <w:rFonts w:hint="eastAsia" w:ascii="楷体" w:hAnsi="楷体" w:eastAsia="楷体" w:cs="楷体"/>
                <w:b w:val="0"/>
                <w:bCs w:val="0"/>
                <w:color w:val="auto"/>
                <w:kern w:val="0"/>
                <w:sz w:val="22"/>
                <w:szCs w:val="22"/>
                <w:lang w:val="en-US" w:eastAsia="zh-CN"/>
              </w:rPr>
              <w:t>从轻</w:t>
            </w:r>
          </w:p>
        </w:tc>
        <w:tc>
          <w:tcPr>
            <w:tcW w:w="3329" w:type="dxa"/>
            <w:tcBorders>
              <w:top w:val="single" w:color="000000" w:sz="4" w:space="0"/>
              <w:left w:val="single" w:color="000000" w:sz="4" w:space="0"/>
              <w:bottom w:val="single" w:color="000000" w:sz="4" w:space="0"/>
              <w:right w:val="single" w:color="000000" w:sz="4" w:space="0"/>
            </w:tcBorders>
            <w:vAlign w:val="center"/>
          </w:tcPr>
          <w:p w14:paraId="4D43AC40">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暂停其医疗费用联网结算3个月至</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rPr>
              <w:t>个月</w:t>
            </w:r>
          </w:p>
        </w:tc>
      </w:tr>
      <w:tr w14:paraId="5CA8DCAA">
        <w:tblPrEx>
          <w:tblCellMar>
            <w:top w:w="0" w:type="dxa"/>
            <w:left w:w="108" w:type="dxa"/>
            <w:bottom w:w="0" w:type="dxa"/>
            <w:right w:w="108" w:type="dxa"/>
          </w:tblCellMar>
        </w:tblPrEx>
        <w:trPr>
          <w:trHeight w:val="901" w:hRule="atLeast"/>
          <w:tblHead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393B71FB">
            <w:pPr>
              <w:widowControl/>
              <w:ind w:firstLine="4" w:firstLineChars="2"/>
              <w:jc w:val="cente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14:paraId="0A98562E">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2036" w:type="dxa"/>
            <w:vMerge w:val="continue"/>
            <w:tcBorders>
              <w:top w:val="single" w:color="000000" w:sz="4" w:space="0"/>
              <w:left w:val="single" w:color="000000" w:sz="4" w:space="0"/>
              <w:bottom w:val="single" w:color="000000" w:sz="4" w:space="0"/>
              <w:right w:val="single" w:color="000000" w:sz="4" w:space="0"/>
            </w:tcBorders>
            <w:vAlign w:val="center"/>
          </w:tcPr>
          <w:p w14:paraId="4767D3D7">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14:paraId="051A8B31">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1417" w:type="dxa"/>
            <w:tcBorders>
              <w:top w:val="single" w:color="000000" w:sz="4" w:space="0"/>
              <w:left w:val="single" w:color="000000" w:sz="4" w:space="0"/>
              <w:bottom w:val="single" w:color="000000" w:sz="4" w:space="0"/>
              <w:right w:val="single" w:color="000000" w:sz="4" w:space="0"/>
            </w:tcBorders>
            <w:vAlign w:val="center"/>
          </w:tcPr>
          <w:p w14:paraId="54F27B25">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rPr>
            </w:pPr>
            <w:r>
              <w:rPr>
                <w:rFonts w:hint="eastAsia" w:ascii="楷体" w:hAnsi="楷体" w:eastAsia="楷体" w:cs="宋体"/>
                <w:kern w:val="0"/>
                <w:sz w:val="22"/>
                <w:lang w:val="en-US" w:eastAsia="zh-CN"/>
              </w:rPr>
              <w:t>一般</w:t>
            </w:r>
          </w:p>
        </w:tc>
        <w:tc>
          <w:tcPr>
            <w:tcW w:w="3329" w:type="dxa"/>
            <w:tcBorders>
              <w:top w:val="single" w:color="000000" w:sz="4" w:space="0"/>
              <w:left w:val="single" w:color="000000" w:sz="4" w:space="0"/>
              <w:bottom w:val="single" w:color="000000" w:sz="4" w:space="0"/>
              <w:right w:val="single" w:color="000000" w:sz="4" w:space="0"/>
            </w:tcBorders>
            <w:vAlign w:val="center"/>
          </w:tcPr>
          <w:p w14:paraId="76F22F1E">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暂停其医疗费用联网结算</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rPr>
              <w:t>个月至</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w:t>
            </w:r>
          </w:p>
        </w:tc>
      </w:tr>
      <w:tr w14:paraId="5218CCD7">
        <w:tblPrEx>
          <w:tblCellMar>
            <w:top w:w="0" w:type="dxa"/>
            <w:left w:w="108" w:type="dxa"/>
            <w:bottom w:w="0" w:type="dxa"/>
            <w:right w:w="108" w:type="dxa"/>
          </w:tblCellMar>
        </w:tblPrEx>
        <w:trPr>
          <w:trHeight w:val="718" w:hRule="atLeast"/>
          <w:tblHead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2DE7A443">
            <w:pPr>
              <w:widowControl/>
              <w:ind w:firstLine="4" w:firstLineChars="2"/>
              <w:jc w:val="center"/>
              <w:rPr>
                <w:rFonts w:hint="eastAsia" w:ascii="楷体" w:hAnsi="楷体" w:eastAsia="楷体" w:cs="楷体"/>
                <w:b w:val="0"/>
                <w:bCs w:val="0"/>
                <w:color w:val="auto"/>
                <w:kern w:val="0"/>
                <w:sz w:val="22"/>
                <w:szCs w:val="22"/>
              </w:rP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14:paraId="0F11F17C">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2036" w:type="dxa"/>
            <w:vMerge w:val="continue"/>
            <w:tcBorders>
              <w:top w:val="single" w:color="000000" w:sz="4" w:space="0"/>
              <w:left w:val="single" w:color="000000" w:sz="4" w:space="0"/>
              <w:bottom w:val="single" w:color="000000" w:sz="4" w:space="0"/>
              <w:right w:val="single" w:color="000000" w:sz="4" w:space="0"/>
            </w:tcBorders>
            <w:vAlign w:val="center"/>
          </w:tcPr>
          <w:p w14:paraId="72C24FEC">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14:paraId="1997C855">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C045A0C">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rPr>
            </w:pPr>
            <w:r>
              <w:rPr>
                <w:rFonts w:hint="eastAsia" w:ascii="楷体" w:hAnsi="楷体" w:eastAsia="楷体" w:cs="宋体"/>
                <w:kern w:val="0"/>
                <w:sz w:val="22"/>
                <w:lang w:val="en-US" w:eastAsia="zh-CN"/>
              </w:rPr>
              <w:t>从重</w:t>
            </w:r>
          </w:p>
        </w:tc>
        <w:tc>
          <w:tcPr>
            <w:tcW w:w="3329" w:type="dxa"/>
            <w:tcBorders>
              <w:top w:val="single" w:color="000000" w:sz="4" w:space="0"/>
              <w:left w:val="single" w:color="000000" w:sz="4" w:space="0"/>
              <w:bottom w:val="single" w:color="000000" w:sz="4" w:space="0"/>
              <w:right w:val="single" w:color="000000" w:sz="4" w:space="0"/>
            </w:tcBorders>
            <w:vAlign w:val="center"/>
          </w:tcPr>
          <w:p w14:paraId="6BB83046">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暂停其医疗费用联网结算</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个月至</w:t>
            </w:r>
            <w:r>
              <w:rPr>
                <w:rFonts w:hint="eastAsia" w:ascii="楷体" w:hAnsi="楷体" w:eastAsia="楷体" w:cs="楷体"/>
                <w:b w:val="0"/>
                <w:bCs w:val="0"/>
                <w:color w:val="auto"/>
                <w:kern w:val="0"/>
                <w:sz w:val="22"/>
                <w:szCs w:val="22"/>
                <w:lang w:val="en-US" w:eastAsia="zh-CN"/>
              </w:rPr>
              <w:t>12</w:t>
            </w:r>
            <w:r>
              <w:rPr>
                <w:rFonts w:hint="eastAsia" w:ascii="楷体" w:hAnsi="楷体" w:eastAsia="楷体" w:cs="楷体"/>
                <w:b w:val="0"/>
                <w:bCs w:val="0"/>
                <w:color w:val="auto"/>
                <w:kern w:val="0"/>
                <w:sz w:val="22"/>
                <w:szCs w:val="22"/>
              </w:rPr>
              <w:t>个月</w:t>
            </w:r>
          </w:p>
        </w:tc>
      </w:tr>
      <w:tr w14:paraId="2CE051F4">
        <w:tblPrEx>
          <w:tblCellMar>
            <w:top w:w="0" w:type="dxa"/>
            <w:left w:w="108" w:type="dxa"/>
            <w:bottom w:w="0" w:type="dxa"/>
            <w:right w:w="108" w:type="dxa"/>
          </w:tblCellMar>
        </w:tblPrEx>
        <w:trPr>
          <w:trHeight w:val="1348" w:hRule="atLeast"/>
          <w:tblHeader/>
        </w:trPr>
        <w:tc>
          <w:tcPr>
            <w:tcW w:w="729" w:type="dxa"/>
            <w:vMerge w:val="restart"/>
            <w:tcBorders>
              <w:top w:val="single" w:color="000000" w:sz="4" w:space="0"/>
              <w:left w:val="single" w:color="000000" w:sz="4" w:space="0"/>
              <w:bottom w:val="single" w:color="000000" w:sz="4" w:space="0"/>
              <w:right w:val="single" w:color="000000" w:sz="4" w:space="0"/>
            </w:tcBorders>
            <w:vAlign w:val="center"/>
          </w:tcPr>
          <w:p w14:paraId="2AA076CF">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6</w:t>
            </w:r>
          </w:p>
        </w:tc>
        <w:tc>
          <w:tcPr>
            <w:tcW w:w="3160" w:type="dxa"/>
            <w:vMerge w:val="restart"/>
            <w:tcBorders>
              <w:top w:val="single" w:color="000000" w:sz="4" w:space="0"/>
              <w:left w:val="single" w:color="000000" w:sz="4" w:space="0"/>
              <w:bottom w:val="single" w:color="000000" w:sz="4" w:space="0"/>
              <w:right w:val="single" w:color="000000" w:sz="4" w:space="0"/>
            </w:tcBorders>
            <w:vAlign w:val="center"/>
          </w:tcPr>
          <w:p w14:paraId="4F56EAE9">
            <w:pPr>
              <w:keepNext w:val="0"/>
              <w:keepLines w:val="0"/>
              <w:pageBreakBefore w:val="0"/>
              <w:widowControl/>
              <w:kinsoku/>
              <w:wordWrap/>
              <w:overflowPunct/>
              <w:topLinePunct w:val="0"/>
              <w:bidi w:val="0"/>
              <w:adjustRightInd/>
              <w:snapToGrid/>
              <w:spacing w:line="260" w:lineRule="exact"/>
              <w:ind w:firstLine="4" w:firstLineChars="2"/>
              <w:jc w:val="left"/>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个人以骗取医疗保障基金为目的，实施了下列规定行为之一，造成医疗保障基金损失的：⑴将本人的医疗保障凭证交由他人冒名使用，⑵重复享受医疗保障待遇，⑶利用享受医疗保障待遇的机会转卖药品，接受返还现金、实物或者获得其他非法利益，造成医疗保障基金损失的；或者使用他人医疗保障凭证冒名就医、购药的；或者通过伪造、变造、隐匿、涂改、销毁医学文书、医学证明、会计凭证、电子信息等有关资料或者虚构医药服务项目等方式，骗取医疗保障基金支出</w:t>
            </w:r>
          </w:p>
        </w:tc>
        <w:tc>
          <w:tcPr>
            <w:tcW w:w="2036" w:type="dxa"/>
            <w:vMerge w:val="restart"/>
            <w:tcBorders>
              <w:top w:val="single" w:color="000000" w:sz="4" w:space="0"/>
              <w:left w:val="single" w:color="000000" w:sz="4" w:space="0"/>
              <w:bottom w:val="single" w:color="000000" w:sz="4" w:space="0"/>
              <w:right w:val="single" w:color="000000" w:sz="4" w:space="0"/>
            </w:tcBorders>
            <w:vAlign w:val="center"/>
          </w:tcPr>
          <w:p w14:paraId="093BEB1F">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《社会保险法》第88条</w:t>
            </w:r>
          </w:p>
          <w:p w14:paraId="4ECCED7E">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《基本医疗卫生与健康促进法》第104条</w:t>
            </w:r>
          </w:p>
          <w:p w14:paraId="4CDAA879">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《医疗保障基金使用监督管理条例》第41条</w:t>
            </w:r>
          </w:p>
        </w:tc>
        <w:tc>
          <w:tcPr>
            <w:tcW w:w="3654" w:type="dxa"/>
            <w:vMerge w:val="restart"/>
            <w:tcBorders>
              <w:top w:val="single" w:color="000000" w:sz="4" w:space="0"/>
              <w:left w:val="single" w:color="000000" w:sz="4" w:space="0"/>
              <w:bottom w:val="single" w:color="000000" w:sz="4" w:space="0"/>
              <w:right w:val="single" w:color="000000" w:sz="4" w:space="0"/>
            </w:tcBorders>
            <w:vAlign w:val="center"/>
          </w:tcPr>
          <w:p w14:paraId="76FCB7B5">
            <w:pPr>
              <w:keepNext w:val="0"/>
              <w:keepLines w:val="0"/>
              <w:pageBreakBefore w:val="0"/>
              <w:widowControl/>
              <w:kinsoku/>
              <w:wordWrap/>
              <w:overflowPunct/>
              <w:topLinePunct w:val="0"/>
              <w:bidi w:val="0"/>
              <w:adjustRightInd/>
              <w:snapToGrid/>
              <w:spacing w:line="260" w:lineRule="exact"/>
              <w:ind w:firstLine="4" w:firstLineChars="2"/>
              <w:jc w:val="left"/>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由医疗保障行政部门责令改正</w:t>
            </w: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rPr>
              <w:t>造成医疗保障基金损失的，责令退回；属于参保人员的，暂停其医疗费用联网结算3个月至12个月</w:t>
            </w:r>
            <w:r>
              <w:rPr>
                <w:rFonts w:hint="eastAsia" w:ascii="楷体" w:hAnsi="楷体" w:eastAsia="楷体" w:cs="楷体"/>
                <w:b w:val="0"/>
                <w:bCs w:val="0"/>
                <w:color w:val="auto"/>
                <w:kern w:val="0"/>
                <w:sz w:val="22"/>
                <w:szCs w:val="22"/>
                <w:lang w:eastAsia="zh-CN"/>
              </w:rPr>
              <w:t>；由医疗保障行政部门处骗取金额2倍以上5倍以下的罚款</w:t>
            </w:r>
          </w:p>
        </w:tc>
        <w:tc>
          <w:tcPr>
            <w:tcW w:w="1417" w:type="dxa"/>
            <w:tcBorders>
              <w:top w:val="single" w:color="000000" w:sz="4" w:space="0"/>
              <w:left w:val="single" w:color="000000" w:sz="4" w:space="0"/>
              <w:bottom w:val="single" w:color="000000" w:sz="4" w:space="0"/>
              <w:right w:val="single" w:color="000000" w:sz="4" w:space="0"/>
            </w:tcBorders>
            <w:vAlign w:val="center"/>
          </w:tcPr>
          <w:p w14:paraId="3E481347">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rPr>
            </w:pPr>
            <w:r>
              <w:rPr>
                <w:rFonts w:hint="eastAsia" w:ascii="楷体" w:hAnsi="楷体" w:eastAsia="楷体" w:cs="楷体"/>
                <w:b w:val="0"/>
                <w:bCs w:val="0"/>
                <w:color w:val="auto"/>
                <w:kern w:val="0"/>
                <w:sz w:val="22"/>
                <w:szCs w:val="22"/>
                <w:lang w:val="en-US" w:eastAsia="zh-CN"/>
              </w:rPr>
              <w:t>从轻</w:t>
            </w:r>
          </w:p>
        </w:tc>
        <w:tc>
          <w:tcPr>
            <w:tcW w:w="3329" w:type="dxa"/>
            <w:tcBorders>
              <w:top w:val="single" w:color="000000" w:sz="4" w:space="0"/>
              <w:left w:val="single" w:color="000000" w:sz="4" w:space="0"/>
              <w:bottom w:val="single" w:color="000000" w:sz="4" w:space="0"/>
              <w:right w:val="single" w:color="000000" w:sz="4" w:space="0"/>
            </w:tcBorders>
            <w:vAlign w:val="center"/>
          </w:tcPr>
          <w:p w14:paraId="01F89490">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暂停其医疗费用联网结算3个月至</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rPr>
              <w:t>个月</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rPr>
              <w:t>按照2倍以上3</w:t>
            </w:r>
            <w:r>
              <w:rPr>
                <w:rFonts w:hint="eastAsia" w:ascii="楷体" w:hAnsi="楷体" w:eastAsia="楷体" w:cs="宋体"/>
                <w:kern w:val="0"/>
                <w:sz w:val="22"/>
                <w:lang w:val="en-US" w:eastAsia="zh-CN"/>
              </w:rPr>
              <w:t>.5</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r>
      <w:tr w14:paraId="4DACD615">
        <w:tblPrEx>
          <w:tblCellMar>
            <w:top w:w="0" w:type="dxa"/>
            <w:left w:w="108" w:type="dxa"/>
            <w:bottom w:w="0" w:type="dxa"/>
            <w:right w:w="108" w:type="dxa"/>
          </w:tblCellMar>
        </w:tblPrEx>
        <w:trPr>
          <w:trHeight w:val="1943" w:hRule="atLeast"/>
          <w:tblHeader/>
        </w:trPr>
        <w:tc>
          <w:tcPr>
            <w:tcW w:w="729" w:type="dxa"/>
            <w:vMerge w:val="continue"/>
            <w:tcBorders>
              <w:top w:val="single" w:color="000000" w:sz="4" w:space="0"/>
              <w:left w:val="single" w:color="000000" w:sz="4" w:space="0"/>
              <w:bottom w:val="single" w:color="000000" w:sz="4" w:space="0"/>
              <w:right w:val="single" w:color="000000" w:sz="4" w:space="0"/>
            </w:tcBorders>
            <w:vAlign w:val="center"/>
          </w:tcPr>
          <w:p w14:paraId="3972518E">
            <w:pPr>
              <w:widowControl/>
              <w:ind w:firstLine="4" w:firstLineChars="2"/>
              <w:jc w:val="center"/>
            </w:pPr>
          </w:p>
        </w:tc>
        <w:tc>
          <w:tcPr>
            <w:tcW w:w="3160" w:type="dxa"/>
            <w:vMerge w:val="continue"/>
            <w:tcBorders>
              <w:top w:val="single" w:color="000000" w:sz="4" w:space="0"/>
              <w:left w:val="single" w:color="000000" w:sz="4" w:space="0"/>
              <w:bottom w:val="single" w:color="000000" w:sz="4" w:space="0"/>
              <w:right w:val="single" w:color="000000" w:sz="4" w:space="0"/>
            </w:tcBorders>
            <w:vAlign w:val="center"/>
          </w:tcPr>
          <w:p w14:paraId="7941674D">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2036" w:type="dxa"/>
            <w:vMerge w:val="continue"/>
            <w:tcBorders>
              <w:top w:val="single" w:color="000000" w:sz="4" w:space="0"/>
              <w:left w:val="single" w:color="000000" w:sz="4" w:space="0"/>
              <w:bottom w:val="single" w:color="000000" w:sz="4" w:space="0"/>
              <w:right w:val="single" w:color="000000" w:sz="4" w:space="0"/>
            </w:tcBorders>
            <w:vAlign w:val="center"/>
          </w:tcPr>
          <w:p w14:paraId="38C41475">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14:paraId="5F040301">
            <w:pPr>
              <w:keepNext w:val="0"/>
              <w:keepLines w:val="0"/>
              <w:pageBreakBefore w:val="0"/>
              <w:widowControl/>
              <w:kinsoku/>
              <w:wordWrap/>
              <w:overflowPunct/>
              <w:topLinePunct w:val="0"/>
              <w:bidi w:val="0"/>
              <w:adjustRightInd/>
              <w:snapToGrid/>
              <w:spacing w:line="260" w:lineRule="exact"/>
              <w:ind w:firstLine="4" w:firstLineChars="2"/>
              <w:jc w:val="center"/>
              <w:textAlignment w:val="auto"/>
            </w:pPr>
          </w:p>
        </w:tc>
        <w:tc>
          <w:tcPr>
            <w:tcW w:w="1417" w:type="dxa"/>
            <w:tcBorders>
              <w:top w:val="single" w:color="000000" w:sz="4" w:space="0"/>
              <w:left w:val="single" w:color="000000" w:sz="4" w:space="0"/>
              <w:bottom w:val="single" w:color="000000" w:sz="4" w:space="0"/>
              <w:right w:val="single" w:color="000000" w:sz="4" w:space="0"/>
            </w:tcBorders>
            <w:vAlign w:val="center"/>
          </w:tcPr>
          <w:p w14:paraId="27C36AC8">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rPr>
            </w:pPr>
            <w:r>
              <w:rPr>
                <w:rFonts w:hint="eastAsia" w:ascii="楷体" w:hAnsi="楷体" w:eastAsia="楷体" w:cs="宋体"/>
                <w:kern w:val="0"/>
                <w:sz w:val="22"/>
                <w:lang w:val="en-US" w:eastAsia="zh-CN"/>
              </w:rPr>
              <w:t>一般</w:t>
            </w:r>
          </w:p>
        </w:tc>
        <w:tc>
          <w:tcPr>
            <w:tcW w:w="3329" w:type="dxa"/>
            <w:tcBorders>
              <w:top w:val="single" w:color="000000" w:sz="4" w:space="0"/>
              <w:left w:val="single" w:color="000000" w:sz="4" w:space="0"/>
              <w:bottom w:val="single" w:color="000000" w:sz="4" w:space="0"/>
              <w:right w:val="single" w:color="000000" w:sz="4" w:space="0"/>
            </w:tcBorders>
            <w:vAlign w:val="center"/>
          </w:tcPr>
          <w:p w14:paraId="283B4FC3">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暂停其医疗费用联网结算</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rPr>
              <w:t>个月至</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rPr>
              <w:t>按照</w:t>
            </w:r>
            <w:r>
              <w:rPr>
                <w:rFonts w:hint="eastAsia" w:ascii="楷体" w:hAnsi="楷体" w:eastAsia="楷体" w:cs="宋体"/>
                <w:kern w:val="0"/>
                <w:sz w:val="22"/>
                <w:lang w:val="en-US" w:eastAsia="zh-CN"/>
              </w:rPr>
              <w:t>3.5</w:t>
            </w:r>
            <w:r>
              <w:rPr>
                <w:rFonts w:hint="eastAsia" w:ascii="楷体" w:hAnsi="楷体" w:eastAsia="楷体" w:cs="宋体"/>
                <w:kern w:val="0"/>
                <w:sz w:val="22"/>
              </w:rPr>
              <w:t>倍标准罚款</w:t>
            </w:r>
          </w:p>
        </w:tc>
      </w:tr>
      <w:tr w14:paraId="43F6145C">
        <w:tblPrEx>
          <w:tblCellMar>
            <w:top w:w="0" w:type="dxa"/>
            <w:left w:w="108" w:type="dxa"/>
            <w:bottom w:w="0" w:type="dxa"/>
            <w:right w:w="108" w:type="dxa"/>
          </w:tblCellMar>
        </w:tblPrEx>
        <w:trPr>
          <w:trHeight w:val="2117" w:hRule="atLeast"/>
          <w:tblHeader/>
        </w:trPr>
        <w:tc>
          <w:tcPr>
            <w:tcW w:w="729" w:type="dxa"/>
            <w:vMerge w:val="continue"/>
            <w:tcBorders>
              <w:top w:val="single" w:color="000000" w:sz="4" w:space="0"/>
              <w:left w:val="single" w:color="000000" w:sz="4" w:space="0"/>
              <w:bottom w:val="single" w:color="auto" w:sz="4" w:space="0"/>
              <w:right w:val="single" w:color="000000" w:sz="4" w:space="0"/>
            </w:tcBorders>
            <w:vAlign w:val="center"/>
          </w:tcPr>
          <w:p w14:paraId="45F28FD6">
            <w:pPr>
              <w:widowControl/>
              <w:ind w:firstLine="4" w:firstLineChars="2"/>
              <w:jc w:val="center"/>
              <w:rPr>
                <w:rFonts w:hint="eastAsia" w:ascii="楷体" w:hAnsi="楷体" w:eastAsia="楷体" w:cs="楷体"/>
                <w:b w:val="0"/>
                <w:bCs w:val="0"/>
                <w:color w:val="auto"/>
                <w:kern w:val="0"/>
                <w:sz w:val="22"/>
                <w:szCs w:val="22"/>
              </w:rPr>
            </w:pPr>
          </w:p>
        </w:tc>
        <w:tc>
          <w:tcPr>
            <w:tcW w:w="3160" w:type="dxa"/>
            <w:vMerge w:val="continue"/>
            <w:tcBorders>
              <w:top w:val="single" w:color="000000" w:sz="4" w:space="0"/>
              <w:left w:val="single" w:color="000000" w:sz="4" w:space="0"/>
              <w:bottom w:val="single" w:color="auto" w:sz="4" w:space="0"/>
              <w:right w:val="single" w:color="000000" w:sz="4" w:space="0"/>
            </w:tcBorders>
            <w:vAlign w:val="center"/>
          </w:tcPr>
          <w:p w14:paraId="2F009F74">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2036" w:type="dxa"/>
            <w:vMerge w:val="continue"/>
            <w:tcBorders>
              <w:top w:val="single" w:color="000000" w:sz="4" w:space="0"/>
              <w:left w:val="single" w:color="000000" w:sz="4" w:space="0"/>
              <w:bottom w:val="single" w:color="auto" w:sz="4" w:space="0"/>
              <w:right w:val="single" w:color="000000" w:sz="4" w:space="0"/>
            </w:tcBorders>
            <w:vAlign w:val="center"/>
          </w:tcPr>
          <w:p w14:paraId="6B981FB6">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3654" w:type="dxa"/>
            <w:vMerge w:val="continue"/>
            <w:tcBorders>
              <w:top w:val="single" w:color="000000" w:sz="4" w:space="0"/>
              <w:left w:val="single" w:color="000000" w:sz="4" w:space="0"/>
              <w:bottom w:val="single" w:color="auto" w:sz="4" w:space="0"/>
              <w:right w:val="single" w:color="000000" w:sz="4" w:space="0"/>
            </w:tcBorders>
            <w:vAlign w:val="center"/>
          </w:tcPr>
          <w:p w14:paraId="0A5B8898">
            <w:pPr>
              <w:keepNext w:val="0"/>
              <w:keepLines w:val="0"/>
              <w:pageBreakBefore w:val="0"/>
              <w:widowControl/>
              <w:kinsoku/>
              <w:wordWrap/>
              <w:overflowPunct/>
              <w:topLinePunct w:val="0"/>
              <w:bidi w:val="0"/>
              <w:adjustRightInd/>
              <w:snapToGrid/>
              <w:spacing w:line="260" w:lineRule="exact"/>
              <w:ind w:firstLine="4" w:firstLineChars="2"/>
              <w:jc w:val="center"/>
              <w:textAlignment w:val="auto"/>
              <w:rPr>
                <w:rFonts w:hint="eastAsia" w:ascii="楷体" w:hAnsi="楷体" w:eastAsia="楷体" w:cs="楷体"/>
                <w:b w:val="0"/>
                <w:bCs w:val="0"/>
                <w:color w:val="auto"/>
                <w:kern w:val="0"/>
                <w:sz w:val="22"/>
                <w:szCs w:val="22"/>
              </w:rPr>
            </w:pPr>
          </w:p>
        </w:tc>
        <w:tc>
          <w:tcPr>
            <w:tcW w:w="1417" w:type="dxa"/>
            <w:tcBorders>
              <w:top w:val="single" w:color="000000" w:sz="4" w:space="0"/>
              <w:left w:val="single" w:color="000000" w:sz="4" w:space="0"/>
              <w:bottom w:val="single" w:color="auto" w:sz="4" w:space="0"/>
              <w:right w:val="single" w:color="000000" w:sz="4" w:space="0"/>
            </w:tcBorders>
            <w:vAlign w:val="center"/>
          </w:tcPr>
          <w:p w14:paraId="32976F50">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rPr>
            </w:pPr>
            <w:r>
              <w:rPr>
                <w:rFonts w:hint="eastAsia" w:ascii="楷体" w:hAnsi="楷体" w:eastAsia="楷体" w:cs="宋体"/>
                <w:kern w:val="0"/>
                <w:sz w:val="22"/>
                <w:lang w:val="en-US" w:eastAsia="zh-CN"/>
              </w:rPr>
              <w:t>从重</w:t>
            </w:r>
          </w:p>
        </w:tc>
        <w:tc>
          <w:tcPr>
            <w:tcW w:w="3329" w:type="dxa"/>
            <w:tcBorders>
              <w:top w:val="single" w:color="000000" w:sz="4" w:space="0"/>
              <w:left w:val="single" w:color="000000" w:sz="4" w:space="0"/>
              <w:bottom w:val="single" w:color="auto" w:sz="4" w:space="0"/>
              <w:right w:val="single" w:color="000000" w:sz="4" w:space="0"/>
            </w:tcBorders>
            <w:vAlign w:val="center"/>
          </w:tcPr>
          <w:p w14:paraId="2F20C076">
            <w:pPr>
              <w:keepNext w:val="0"/>
              <w:keepLines w:val="0"/>
              <w:pageBreakBefore w:val="0"/>
              <w:widowControl/>
              <w:kinsoku/>
              <w:wordWrap/>
              <w:overflowPunct/>
              <w:topLinePunct w:val="0"/>
              <w:bidi w:val="0"/>
              <w:adjustRightInd/>
              <w:snapToGrid/>
              <w:spacing w:line="260" w:lineRule="exact"/>
              <w:ind w:firstLine="4" w:firstLineChars="2"/>
              <w:jc w:val="both"/>
              <w:textAlignment w:val="auto"/>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暂停其医疗费用联网结算</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个月至</w:t>
            </w:r>
            <w:r>
              <w:rPr>
                <w:rFonts w:hint="eastAsia" w:ascii="楷体" w:hAnsi="楷体" w:eastAsia="楷体" w:cs="楷体"/>
                <w:b w:val="0"/>
                <w:bCs w:val="0"/>
                <w:color w:val="auto"/>
                <w:kern w:val="0"/>
                <w:sz w:val="22"/>
                <w:szCs w:val="22"/>
                <w:lang w:val="en-US" w:eastAsia="zh-CN"/>
              </w:rPr>
              <w:t>12</w:t>
            </w:r>
            <w:r>
              <w:rPr>
                <w:rFonts w:hint="eastAsia" w:ascii="楷体" w:hAnsi="楷体" w:eastAsia="楷体" w:cs="楷体"/>
                <w:b w:val="0"/>
                <w:bCs w:val="0"/>
                <w:color w:val="auto"/>
                <w:kern w:val="0"/>
                <w:sz w:val="22"/>
                <w:szCs w:val="22"/>
              </w:rPr>
              <w:t>个月</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rPr>
              <w:t>按照</w:t>
            </w:r>
            <w:r>
              <w:rPr>
                <w:rFonts w:hint="eastAsia" w:ascii="楷体" w:hAnsi="楷体" w:eastAsia="楷体" w:cs="宋体"/>
                <w:kern w:val="0"/>
                <w:sz w:val="22"/>
                <w:lang w:val="en-US" w:eastAsia="zh-CN"/>
              </w:rPr>
              <w:t>3.5</w:t>
            </w:r>
            <w:r>
              <w:rPr>
                <w:rFonts w:hint="eastAsia" w:ascii="楷体" w:hAnsi="楷体" w:eastAsia="楷体" w:cs="宋体"/>
                <w:kern w:val="0"/>
                <w:sz w:val="22"/>
              </w:rPr>
              <w:t>倍</w:t>
            </w:r>
            <w:r>
              <w:rPr>
                <w:rFonts w:hint="eastAsia" w:ascii="楷体" w:hAnsi="楷体" w:eastAsia="楷体" w:cs="宋体"/>
                <w:kern w:val="0"/>
                <w:sz w:val="22"/>
                <w:lang w:val="en-US" w:eastAsia="zh-CN"/>
              </w:rPr>
              <w:t>至5</w:t>
            </w:r>
            <w:r>
              <w:rPr>
                <w:rFonts w:hint="eastAsia" w:ascii="楷体" w:hAnsi="楷体" w:eastAsia="楷体" w:cs="宋体"/>
                <w:kern w:val="0"/>
                <w:sz w:val="22"/>
              </w:rPr>
              <w:t>倍标准罚款</w:t>
            </w:r>
          </w:p>
        </w:tc>
      </w:tr>
      <w:tr w14:paraId="15881D7D">
        <w:tblPrEx>
          <w:tblCellMar>
            <w:top w:w="0" w:type="dxa"/>
            <w:left w:w="108" w:type="dxa"/>
            <w:bottom w:w="0" w:type="dxa"/>
            <w:right w:w="108" w:type="dxa"/>
          </w:tblCellMar>
        </w:tblPrEx>
        <w:trPr>
          <w:trHeight w:val="90" w:hRule="atLeast"/>
        </w:trPr>
        <w:tc>
          <w:tcPr>
            <w:tcW w:w="729" w:type="dxa"/>
            <w:vMerge w:val="restart"/>
            <w:tcBorders>
              <w:top w:val="single" w:color="auto" w:sz="4" w:space="0"/>
              <w:left w:val="single" w:color="auto" w:sz="4" w:space="0"/>
              <w:bottom w:val="single" w:color="auto" w:sz="4" w:space="0"/>
              <w:right w:val="single" w:color="auto" w:sz="4" w:space="0"/>
            </w:tcBorders>
            <w:vAlign w:val="center"/>
          </w:tcPr>
          <w:p w14:paraId="05C98314">
            <w:pPr>
              <w:widowControl/>
              <w:jc w:val="center"/>
              <w:rPr>
                <w:rFonts w:hint="eastAsia" w:ascii="楷体" w:hAnsi="楷体" w:eastAsia="楷体" w:cs="宋体"/>
                <w:kern w:val="0"/>
                <w:sz w:val="22"/>
                <w:highlight w:val="none"/>
                <w:lang w:val="en-US" w:eastAsia="zh-CN"/>
              </w:rPr>
            </w:pPr>
            <w:r>
              <w:rPr>
                <w:rFonts w:hint="eastAsia" w:ascii="楷体" w:hAnsi="楷体" w:eastAsia="楷体" w:cs="宋体"/>
                <w:kern w:val="0"/>
                <w:sz w:val="22"/>
                <w:highlight w:val="none"/>
                <w:lang w:val="en-US" w:eastAsia="zh-CN"/>
              </w:rPr>
              <w:t>7</w:t>
            </w:r>
          </w:p>
        </w:tc>
        <w:tc>
          <w:tcPr>
            <w:tcW w:w="3160" w:type="dxa"/>
            <w:vMerge w:val="restart"/>
            <w:tcBorders>
              <w:top w:val="single" w:color="auto" w:sz="4" w:space="0"/>
              <w:left w:val="single" w:color="auto" w:sz="4" w:space="0"/>
              <w:bottom w:val="single" w:color="auto" w:sz="4" w:space="0"/>
              <w:right w:val="single" w:color="auto" w:sz="4" w:space="0"/>
            </w:tcBorders>
            <w:vAlign w:val="center"/>
          </w:tcPr>
          <w:p w14:paraId="2541F2B5">
            <w:pPr>
              <w:keepNext w:val="0"/>
              <w:keepLines w:val="0"/>
              <w:pageBreakBefore w:val="0"/>
              <w:widowControl/>
              <w:kinsoku/>
              <w:wordWrap/>
              <w:overflowPunct/>
              <w:topLinePunct w:val="0"/>
              <w:bidi w:val="0"/>
              <w:adjustRightInd/>
              <w:snapToGrid/>
              <w:spacing w:line="260" w:lineRule="exact"/>
              <w:jc w:val="left"/>
              <w:textAlignment w:val="auto"/>
              <w:rPr>
                <w:rFonts w:ascii="楷体" w:hAnsi="楷体" w:eastAsia="楷体" w:cs="宋体"/>
                <w:kern w:val="0"/>
                <w:sz w:val="22"/>
                <w:highlight w:val="none"/>
              </w:rPr>
            </w:pPr>
            <w:r>
              <w:rPr>
                <w:rFonts w:hint="eastAsia" w:ascii="楷体" w:hAnsi="楷体" w:eastAsia="楷体" w:cs="宋体"/>
                <w:kern w:val="0"/>
                <w:sz w:val="22"/>
                <w:highlight w:val="none"/>
                <w:lang w:eastAsia="zh-CN"/>
              </w:rPr>
              <w:t>对用人单位不办理医疗保险和生育保险登记、未按规定变更登记或注销登记以及伪造、变造登记证明的处罚</w:t>
            </w:r>
          </w:p>
        </w:tc>
        <w:tc>
          <w:tcPr>
            <w:tcW w:w="2036" w:type="dxa"/>
            <w:vMerge w:val="restart"/>
            <w:tcBorders>
              <w:top w:val="single" w:color="auto" w:sz="4" w:space="0"/>
              <w:left w:val="single" w:color="auto" w:sz="4" w:space="0"/>
              <w:bottom w:val="single" w:color="auto" w:sz="4" w:space="0"/>
              <w:right w:val="single" w:color="auto" w:sz="4" w:space="0"/>
            </w:tcBorders>
            <w:vAlign w:val="center"/>
          </w:tcPr>
          <w:p w14:paraId="31482B1F">
            <w:pPr>
              <w:keepNext w:val="0"/>
              <w:keepLines w:val="0"/>
              <w:pageBreakBefore w:val="0"/>
              <w:widowControl/>
              <w:kinsoku/>
              <w:wordWrap/>
              <w:overflowPunct/>
              <w:topLinePunct w:val="0"/>
              <w:bidi w:val="0"/>
              <w:adjustRightInd/>
              <w:snapToGrid/>
              <w:spacing w:line="260" w:lineRule="exact"/>
              <w:jc w:val="left"/>
              <w:textAlignment w:val="auto"/>
              <w:rPr>
                <w:rFonts w:ascii="楷体" w:hAnsi="楷体" w:eastAsia="楷体" w:cs="宋体"/>
                <w:kern w:val="0"/>
                <w:sz w:val="22"/>
                <w:highlight w:val="none"/>
              </w:rPr>
            </w:pPr>
            <w:r>
              <w:rPr>
                <w:rFonts w:hint="eastAsia" w:ascii="楷体" w:hAnsi="楷体" w:eastAsia="楷体" w:cs="宋体"/>
                <w:kern w:val="0"/>
                <w:sz w:val="22"/>
                <w:highlight w:val="none"/>
                <w:lang w:eastAsia="zh-CN"/>
              </w:rPr>
              <w:t>《社会保险法》第84条</w:t>
            </w:r>
          </w:p>
        </w:tc>
        <w:tc>
          <w:tcPr>
            <w:tcW w:w="3654" w:type="dxa"/>
            <w:vMerge w:val="restart"/>
            <w:tcBorders>
              <w:top w:val="single" w:color="auto" w:sz="4" w:space="0"/>
              <w:left w:val="single" w:color="auto" w:sz="4" w:space="0"/>
              <w:bottom w:val="single" w:color="auto" w:sz="4" w:space="0"/>
              <w:right w:val="single" w:color="auto" w:sz="4" w:space="0"/>
            </w:tcBorders>
            <w:vAlign w:val="center"/>
          </w:tcPr>
          <w:p w14:paraId="788181A1">
            <w:pPr>
              <w:keepNext w:val="0"/>
              <w:keepLines w:val="0"/>
              <w:pageBreakBefore w:val="0"/>
              <w:widowControl/>
              <w:kinsoku/>
              <w:wordWrap/>
              <w:overflowPunct/>
              <w:topLinePunct w:val="0"/>
              <w:bidi w:val="0"/>
              <w:adjustRightInd/>
              <w:snapToGrid/>
              <w:spacing w:line="260" w:lineRule="exact"/>
              <w:jc w:val="left"/>
              <w:textAlignment w:val="auto"/>
              <w:rPr>
                <w:rFonts w:hint="default" w:ascii="楷体" w:hAnsi="楷体" w:eastAsia="楷体" w:cs="宋体"/>
                <w:kern w:val="0"/>
                <w:sz w:val="22"/>
                <w:highlight w:val="none"/>
                <w:lang w:val="en-US" w:eastAsia="zh-CN"/>
              </w:rPr>
            </w:pPr>
            <w:r>
              <w:rPr>
                <w:rFonts w:hint="eastAsia" w:ascii="楷体" w:hAnsi="楷体" w:eastAsia="楷体" w:cs="宋体"/>
                <w:kern w:val="0"/>
                <w:sz w:val="22"/>
                <w:highlight w:val="none"/>
              </w:rPr>
              <w:t>责令限期改正</w:t>
            </w:r>
            <w:r>
              <w:rPr>
                <w:rFonts w:hint="eastAsia" w:ascii="楷体" w:hAnsi="楷体" w:eastAsia="楷体" w:cs="宋体"/>
                <w:kern w:val="0"/>
                <w:sz w:val="22"/>
                <w:highlight w:val="none"/>
                <w:lang w:eastAsia="zh-CN"/>
              </w:rPr>
              <w:t>，</w:t>
            </w:r>
            <w:r>
              <w:rPr>
                <w:rFonts w:hint="eastAsia" w:ascii="楷体" w:hAnsi="楷体" w:eastAsia="楷体" w:cs="宋体"/>
                <w:kern w:val="0"/>
                <w:sz w:val="22"/>
                <w:highlight w:val="none"/>
              </w:rPr>
              <w:t>逾期不改正的，</w:t>
            </w:r>
            <w:r>
              <w:rPr>
                <w:rFonts w:hint="eastAsia" w:ascii="楷体" w:hAnsi="楷体" w:eastAsia="楷体" w:cs="宋体"/>
                <w:kern w:val="0"/>
                <w:sz w:val="22"/>
                <w:highlight w:val="none"/>
                <w:lang w:val="en-US" w:eastAsia="zh-CN"/>
              </w:rPr>
              <w:t>对用人单位处应缴社会保险费数额一倍以上三倍以下的罚款，对其直接负责的主管人员和其他直接责任人员处五百元以上三千元以下的罚款。</w:t>
            </w:r>
          </w:p>
        </w:tc>
        <w:tc>
          <w:tcPr>
            <w:tcW w:w="1417" w:type="dxa"/>
            <w:tcBorders>
              <w:top w:val="single" w:color="auto" w:sz="4" w:space="0"/>
              <w:left w:val="single" w:color="auto" w:sz="4" w:space="0"/>
              <w:bottom w:val="single" w:color="auto" w:sz="4" w:space="0"/>
              <w:right w:val="single" w:color="auto" w:sz="4" w:space="0"/>
            </w:tcBorders>
            <w:vAlign w:val="center"/>
          </w:tcPr>
          <w:p w14:paraId="69C1D86A">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szCs w:val="22"/>
                <w:highlight w:val="none"/>
                <w:lang w:val="en-US" w:eastAsia="zh-CN" w:bidi="ar-SA"/>
              </w:rPr>
            </w:pPr>
            <w:r>
              <w:rPr>
                <w:rFonts w:hint="eastAsia" w:ascii="楷体" w:hAnsi="楷体" w:eastAsia="楷体" w:cs="楷体"/>
                <w:b w:val="0"/>
                <w:bCs w:val="0"/>
                <w:color w:val="auto"/>
                <w:kern w:val="0"/>
                <w:sz w:val="22"/>
                <w:szCs w:val="22"/>
                <w:lang w:val="en-US" w:eastAsia="zh-CN"/>
              </w:rPr>
              <w:t>从轻</w:t>
            </w:r>
          </w:p>
        </w:tc>
        <w:tc>
          <w:tcPr>
            <w:tcW w:w="3329" w:type="dxa"/>
            <w:tcBorders>
              <w:top w:val="single" w:color="auto" w:sz="4" w:space="0"/>
              <w:left w:val="single" w:color="auto" w:sz="4" w:space="0"/>
              <w:bottom w:val="single" w:color="auto" w:sz="4" w:space="0"/>
              <w:right w:val="single" w:color="auto" w:sz="4" w:space="0"/>
            </w:tcBorders>
            <w:vAlign w:val="center"/>
          </w:tcPr>
          <w:p w14:paraId="047E55DD">
            <w:pPr>
              <w:keepNext w:val="0"/>
              <w:keepLines w:val="0"/>
              <w:pageBreakBefore w:val="0"/>
              <w:widowControl/>
              <w:kinsoku/>
              <w:wordWrap/>
              <w:overflowPunct/>
              <w:topLinePunct w:val="0"/>
              <w:bidi w:val="0"/>
              <w:adjustRightInd/>
              <w:snapToGrid/>
              <w:spacing w:line="260" w:lineRule="exact"/>
              <w:jc w:val="both"/>
              <w:textAlignment w:val="auto"/>
              <w:rPr>
                <w:rFonts w:hint="default" w:ascii="楷体" w:hAnsi="楷体" w:eastAsia="楷体" w:cs="宋体"/>
                <w:kern w:val="0"/>
                <w:sz w:val="22"/>
                <w:highlight w:val="none"/>
                <w:lang w:val="en-US" w:eastAsia="zh-CN"/>
              </w:rPr>
            </w:pPr>
            <w:r>
              <w:rPr>
                <w:rFonts w:hint="eastAsia" w:ascii="楷体" w:hAnsi="楷体" w:eastAsia="楷体" w:cs="宋体"/>
                <w:kern w:val="0"/>
                <w:sz w:val="22"/>
                <w:highlight w:val="none"/>
                <w:lang w:val="en-US" w:eastAsia="zh-CN"/>
              </w:rPr>
              <w:t>对用人单位</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1倍</w:t>
            </w:r>
            <w:r>
              <w:rPr>
                <w:rFonts w:hint="eastAsia" w:ascii="楷体" w:hAnsi="楷体" w:eastAsia="楷体" w:cs="宋体"/>
                <w:kern w:val="0"/>
                <w:sz w:val="22"/>
                <w:highlight w:val="none"/>
              </w:rPr>
              <w:t>以上</w:t>
            </w:r>
            <w:r>
              <w:rPr>
                <w:rFonts w:hint="eastAsia" w:ascii="楷体" w:hAnsi="楷体" w:eastAsia="楷体" w:cs="宋体"/>
                <w:kern w:val="0"/>
                <w:sz w:val="22"/>
                <w:highlight w:val="none"/>
                <w:lang w:val="en-US" w:eastAsia="zh-CN"/>
              </w:rPr>
              <w:t>2倍</w:t>
            </w:r>
            <w:r>
              <w:rPr>
                <w:rFonts w:hint="eastAsia" w:ascii="楷体" w:hAnsi="楷体" w:eastAsia="楷体" w:cs="宋体"/>
                <w:kern w:val="0"/>
                <w:sz w:val="22"/>
                <w:highlight w:val="none"/>
                <w:lang w:eastAsia="zh-CN"/>
              </w:rPr>
              <w:t>以下</w:t>
            </w:r>
            <w:r>
              <w:rPr>
                <w:rFonts w:hint="eastAsia" w:ascii="楷体" w:hAnsi="楷体" w:eastAsia="楷体" w:cs="宋体"/>
                <w:kern w:val="0"/>
                <w:sz w:val="22"/>
                <w:highlight w:val="none"/>
              </w:rPr>
              <w:t>标准罚款</w:t>
            </w:r>
            <w:r>
              <w:rPr>
                <w:rFonts w:hint="eastAsia" w:ascii="楷体" w:hAnsi="楷体" w:eastAsia="楷体" w:cs="宋体"/>
                <w:kern w:val="0"/>
                <w:sz w:val="22"/>
                <w:highlight w:val="none"/>
                <w:lang w:eastAsia="zh-CN"/>
              </w:rPr>
              <w:t>，</w:t>
            </w:r>
            <w:r>
              <w:rPr>
                <w:rFonts w:hint="eastAsia" w:ascii="楷体" w:hAnsi="楷体" w:eastAsia="楷体" w:cs="宋体"/>
                <w:kern w:val="0"/>
                <w:sz w:val="22"/>
                <w:highlight w:val="none"/>
                <w:lang w:val="en-US" w:eastAsia="zh-CN"/>
              </w:rPr>
              <w:t>对其直接负责的主管人员和其他直接责任人员按照500元以上1750元以下标准罚款。</w:t>
            </w:r>
          </w:p>
        </w:tc>
      </w:tr>
      <w:tr w14:paraId="79E63544">
        <w:tblPrEx>
          <w:tblCellMar>
            <w:top w:w="0" w:type="dxa"/>
            <w:left w:w="108" w:type="dxa"/>
            <w:bottom w:w="0" w:type="dxa"/>
            <w:right w:w="108" w:type="dxa"/>
          </w:tblCellMar>
        </w:tblPrEx>
        <w:trPr>
          <w:trHeight w:val="540" w:hRule="atLeast"/>
        </w:trPr>
        <w:tc>
          <w:tcPr>
            <w:tcW w:w="729" w:type="dxa"/>
            <w:vMerge w:val="continue"/>
            <w:tcBorders>
              <w:top w:val="single" w:color="auto" w:sz="4" w:space="0"/>
              <w:left w:val="single" w:color="auto" w:sz="4" w:space="0"/>
              <w:bottom w:val="single" w:color="000000" w:sz="4" w:space="0"/>
              <w:right w:val="single" w:color="auto" w:sz="4" w:space="0"/>
            </w:tcBorders>
            <w:vAlign w:val="center"/>
          </w:tcPr>
          <w:p w14:paraId="265D5668">
            <w:pPr>
              <w:widowControl/>
              <w:jc w:val="center"/>
              <w:rPr>
                <w:rFonts w:ascii="楷体" w:hAnsi="楷体" w:eastAsia="楷体" w:cs="宋体"/>
                <w:kern w:val="0"/>
                <w:sz w:val="22"/>
                <w:highlight w:val="none"/>
              </w:rPr>
            </w:pPr>
          </w:p>
        </w:tc>
        <w:tc>
          <w:tcPr>
            <w:tcW w:w="3160" w:type="dxa"/>
            <w:vMerge w:val="continue"/>
            <w:tcBorders>
              <w:top w:val="single" w:color="auto" w:sz="4" w:space="0"/>
              <w:left w:val="single" w:color="auto" w:sz="4" w:space="0"/>
              <w:bottom w:val="single" w:color="000000" w:sz="4" w:space="0"/>
              <w:right w:val="single" w:color="auto" w:sz="4" w:space="0"/>
            </w:tcBorders>
            <w:vAlign w:val="center"/>
          </w:tcPr>
          <w:p w14:paraId="3073366D">
            <w:pPr>
              <w:keepNext w:val="0"/>
              <w:keepLines w:val="0"/>
              <w:pageBreakBefore w:val="0"/>
              <w:widowControl/>
              <w:kinsoku/>
              <w:wordWrap/>
              <w:overflowPunct/>
              <w:topLinePunct w:val="0"/>
              <w:bidi w:val="0"/>
              <w:adjustRightInd/>
              <w:snapToGrid/>
              <w:spacing w:line="260" w:lineRule="exact"/>
              <w:jc w:val="left"/>
              <w:textAlignment w:val="auto"/>
              <w:rPr>
                <w:rFonts w:ascii="楷体" w:hAnsi="楷体" w:eastAsia="楷体" w:cs="宋体"/>
                <w:kern w:val="0"/>
                <w:sz w:val="22"/>
                <w:highlight w:val="none"/>
              </w:rPr>
            </w:pPr>
          </w:p>
        </w:tc>
        <w:tc>
          <w:tcPr>
            <w:tcW w:w="2036" w:type="dxa"/>
            <w:vMerge w:val="continue"/>
            <w:tcBorders>
              <w:top w:val="single" w:color="auto" w:sz="4" w:space="0"/>
              <w:left w:val="single" w:color="auto" w:sz="4" w:space="0"/>
              <w:bottom w:val="single" w:color="000000" w:sz="4" w:space="0"/>
              <w:right w:val="single" w:color="auto" w:sz="4" w:space="0"/>
            </w:tcBorders>
            <w:vAlign w:val="center"/>
          </w:tcPr>
          <w:p w14:paraId="7CEC9FFB">
            <w:pPr>
              <w:keepNext w:val="0"/>
              <w:keepLines w:val="0"/>
              <w:pageBreakBefore w:val="0"/>
              <w:widowControl/>
              <w:kinsoku/>
              <w:wordWrap/>
              <w:overflowPunct/>
              <w:topLinePunct w:val="0"/>
              <w:bidi w:val="0"/>
              <w:adjustRightInd/>
              <w:snapToGrid/>
              <w:spacing w:line="260" w:lineRule="exact"/>
              <w:jc w:val="left"/>
              <w:textAlignment w:val="auto"/>
              <w:rPr>
                <w:rFonts w:ascii="楷体" w:hAnsi="楷体" w:eastAsia="楷体" w:cs="宋体"/>
                <w:kern w:val="0"/>
                <w:sz w:val="22"/>
                <w:highlight w:val="none"/>
              </w:rPr>
            </w:pPr>
          </w:p>
        </w:tc>
        <w:tc>
          <w:tcPr>
            <w:tcW w:w="3654" w:type="dxa"/>
            <w:vMerge w:val="continue"/>
            <w:tcBorders>
              <w:top w:val="single" w:color="auto" w:sz="4" w:space="0"/>
              <w:left w:val="single" w:color="auto" w:sz="4" w:space="0"/>
              <w:bottom w:val="single" w:color="000000" w:sz="4" w:space="0"/>
              <w:right w:val="single" w:color="auto" w:sz="4" w:space="0"/>
            </w:tcBorders>
            <w:vAlign w:val="center"/>
          </w:tcPr>
          <w:p w14:paraId="6B219F7E">
            <w:pPr>
              <w:keepNext w:val="0"/>
              <w:keepLines w:val="0"/>
              <w:pageBreakBefore w:val="0"/>
              <w:widowControl/>
              <w:kinsoku/>
              <w:wordWrap/>
              <w:overflowPunct/>
              <w:topLinePunct w:val="0"/>
              <w:bidi w:val="0"/>
              <w:adjustRightInd/>
              <w:snapToGrid/>
              <w:spacing w:line="260" w:lineRule="exact"/>
              <w:jc w:val="left"/>
              <w:textAlignment w:val="auto"/>
              <w:rPr>
                <w:rFonts w:ascii="楷体" w:hAnsi="楷体" w:eastAsia="楷体" w:cs="宋体"/>
                <w:kern w:val="0"/>
                <w:sz w:val="22"/>
                <w:highlight w:val="none"/>
              </w:rPr>
            </w:pPr>
          </w:p>
        </w:tc>
        <w:tc>
          <w:tcPr>
            <w:tcW w:w="1417" w:type="dxa"/>
            <w:tcBorders>
              <w:top w:val="single" w:color="auto" w:sz="4" w:space="0"/>
              <w:left w:val="nil"/>
              <w:bottom w:val="single" w:color="auto" w:sz="4" w:space="0"/>
              <w:right w:val="single" w:color="auto" w:sz="4" w:space="0"/>
            </w:tcBorders>
            <w:vAlign w:val="center"/>
          </w:tcPr>
          <w:p w14:paraId="08319623">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szCs w:val="22"/>
                <w:highlight w:val="none"/>
                <w:lang w:val="en-US" w:eastAsia="zh-CN" w:bidi="ar-SA"/>
              </w:rPr>
            </w:pPr>
            <w:r>
              <w:rPr>
                <w:rFonts w:hint="eastAsia" w:ascii="楷体" w:hAnsi="楷体" w:eastAsia="楷体" w:cs="宋体"/>
                <w:kern w:val="0"/>
                <w:sz w:val="22"/>
                <w:lang w:val="en-US" w:eastAsia="zh-CN"/>
              </w:rPr>
              <w:t>一般</w:t>
            </w:r>
          </w:p>
        </w:tc>
        <w:tc>
          <w:tcPr>
            <w:tcW w:w="3329" w:type="dxa"/>
            <w:tcBorders>
              <w:top w:val="single" w:color="auto" w:sz="4" w:space="0"/>
              <w:left w:val="nil"/>
              <w:bottom w:val="single" w:color="auto" w:sz="4" w:space="0"/>
              <w:right w:val="single" w:color="auto" w:sz="4" w:space="0"/>
            </w:tcBorders>
            <w:vAlign w:val="center"/>
          </w:tcPr>
          <w:p w14:paraId="003AA620">
            <w:pPr>
              <w:keepNext w:val="0"/>
              <w:keepLines w:val="0"/>
              <w:pageBreakBefore w:val="0"/>
              <w:widowControl/>
              <w:kinsoku/>
              <w:wordWrap/>
              <w:overflowPunct/>
              <w:topLinePunct w:val="0"/>
              <w:bidi w:val="0"/>
              <w:adjustRightInd/>
              <w:snapToGrid/>
              <w:spacing w:line="260" w:lineRule="exact"/>
              <w:jc w:val="both"/>
              <w:textAlignment w:val="auto"/>
              <w:rPr>
                <w:rFonts w:ascii="楷体" w:hAnsi="楷体" w:eastAsia="楷体" w:cs="宋体"/>
                <w:kern w:val="0"/>
                <w:sz w:val="22"/>
                <w:highlight w:val="none"/>
              </w:rPr>
            </w:pPr>
            <w:r>
              <w:rPr>
                <w:rFonts w:hint="eastAsia" w:ascii="楷体" w:hAnsi="楷体" w:eastAsia="楷体" w:cs="宋体"/>
                <w:kern w:val="0"/>
                <w:sz w:val="22"/>
                <w:highlight w:val="none"/>
                <w:lang w:val="en-US" w:eastAsia="zh-CN"/>
              </w:rPr>
              <w:t>对用人单位</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2倍</w:t>
            </w:r>
            <w:r>
              <w:rPr>
                <w:rFonts w:hint="eastAsia" w:ascii="楷体" w:hAnsi="楷体" w:eastAsia="楷体" w:cs="宋体"/>
                <w:kern w:val="0"/>
                <w:sz w:val="22"/>
                <w:highlight w:val="none"/>
              </w:rPr>
              <w:t>标准罚款</w:t>
            </w:r>
            <w:r>
              <w:rPr>
                <w:rFonts w:hint="eastAsia" w:ascii="楷体" w:hAnsi="楷体" w:eastAsia="楷体" w:cs="宋体"/>
                <w:kern w:val="0"/>
                <w:sz w:val="22"/>
                <w:highlight w:val="none"/>
                <w:lang w:eastAsia="zh-CN"/>
              </w:rPr>
              <w:t>，</w:t>
            </w:r>
            <w:r>
              <w:rPr>
                <w:rFonts w:hint="eastAsia" w:ascii="楷体" w:hAnsi="楷体" w:eastAsia="楷体" w:cs="宋体"/>
                <w:kern w:val="0"/>
                <w:sz w:val="22"/>
                <w:highlight w:val="none"/>
                <w:lang w:val="en-US" w:eastAsia="zh-CN"/>
              </w:rPr>
              <w:t>对其直接负责的主管人员和其他直接责任人员按照1750元标准罚款。</w:t>
            </w:r>
          </w:p>
        </w:tc>
      </w:tr>
      <w:tr w14:paraId="2673350A">
        <w:tblPrEx>
          <w:tblCellMar>
            <w:top w:w="0" w:type="dxa"/>
            <w:left w:w="108" w:type="dxa"/>
            <w:bottom w:w="0" w:type="dxa"/>
            <w:right w:w="108" w:type="dxa"/>
          </w:tblCellMar>
        </w:tblPrEx>
        <w:trPr>
          <w:trHeight w:val="780" w:hRule="atLeast"/>
        </w:trPr>
        <w:tc>
          <w:tcPr>
            <w:tcW w:w="729" w:type="dxa"/>
            <w:vMerge w:val="continue"/>
            <w:tcBorders>
              <w:top w:val="single" w:color="000000" w:sz="4" w:space="0"/>
              <w:left w:val="single" w:color="auto" w:sz="4" w:space="0"/>
              <w:bottom w:val="single" w:color="000000" w:sz="4" w:space="0"/>
              <w:right w:val="single" w:color="auto" w:sz="4" w:space="0"/>
            </w:tcBorders>
            <w:vAlign w:val="center"/>
          </w:tcPr>
          <w:p w14:paraId="51316A35">
            <w:pPr>
              <w:widowControl/>
              <w:jc w:val="center"/>
              <w:rPr>
                <w:rFonts w:ascii="楷体" w:hAnsi="楷体" w:eastAsia="楷体" w:cs="宋体"/>
                <w:kern w:val="0"/>
                <w:sz w:val="22"/>
                <w:highlight w:val="none"/>
              </w:rPr>
            </w:pPr>
          </w:p>
        </w:tc>
        <w:tc>
          <w:tcPr>
            <w:tcW w:w="3160" w:type="dxa"/>
            <w:vMerge w:val="continue"/>
            <w:tcBorders>
              <w:top w:val="single" w:color="000000" w:sz="4" w:space="0"/>
              <w:left w:val="single" w:color="auto" w:sz="4" w:space="0"/>
              <w:bottom w:val="single" w:color="000000" w:sz="4" w:space="0"/>
              <w:right w:val="single" w:color="auto" w:sz="4" w:space="0"/>
            </w:tcBorders>
            <w:vAlign w:val="center"/>
          </w:tcPr>
          <w:p w14:paraId="2D01B987">
            <w:pPr>
              <w:keepNext w:val="0"/>
              <w:keepLines w:val="0"/>
              <w:pageBreakBefore w:val="0"/>
              <w:widowControl/>
              <w:kinsoku/>
              <w:wordWrap/>
              <w:overflowPunct/>
              <w:topLinePunct w:val="0"/>
              <w:bidi w:val="0"/>
              <w:adjustRightInd/>
              <w:snapToGrid/>
              <w:spacing w:line="260" w:lineRule="exact"/>
              <w:jc w:val="left"/>
              <w:textAlignment w:val="auto"/>
              <w:rPr>
                <w:rFonts w:ascii="楷体" w:hAnsi="楷体" w:eastAsia="楷体" w:cs="宋体"/>
                <w:kern w:val="0"/>
                <w:sz w:val="22"/>
                <w:highlight w:val="none"/>
              </w:rPr>
            </w:pPr>
          </w:p>
        </w:tc>
        <w:tc>
          <w:tcPr>
            <w:tcW w:w="2036" w:type="dxa"/>
            <w:vMerge w:val="continue"/>
            <w:tcBorders>
              <w:top w:val="single" w:color="000000" w:sz="4" w:space="0"/>
              <w:left w:val="single" w:color="auto" w:sz="4" w:space="0"/>
              <w:bottom w:val="single" w:color="000000" w:sz="4" w:space="0"/>
              <w:right w:val="single" w:color="auto" w:sz="4" w:space="0"/>
            </w:tcBorders>
            <w:vAlign w:val="center"/>
          </w:tcPr>
          <w:p w14:paraId="30007846">
            <w:pPr>
              <w:keepNext w:val="0"/>
              <w:keepLines w:val="0"/>
              <w:pageBreakBefore w:val="0"/>
              <w:widowControl/>
              <w:kinsoku/>
              <w:wordWrap/>
              <w:overflowPunct/>
              <w:topLinePunct w:val="0"/>
              <w:bidi w:val="0"/>
              <w:adjustRightInd/>
              <w:snapToGrid/>
              <w:spacing w:line="260" w:lineRule="exact"/>
              <w:jc w:val="left"/>
              <w:textAlignment w:val="auto"/>
              <w:rPr>
                <w:rFonts w:ascii="楷体" w:hAnsi="楷体" w:eastAsia="楷体" w:cs="宋体"/>
                <w:kern w:val="0"/>
                <w:sz w:val="22"/>
                <w:highlight w:val="none"/>
              </w:rPr>
            </w:pPr>
          </w:p>
        </w:tc>
        <w:tc>
          <w:tcPr>
            <w:tcW w:w="3654" w:type="dxa"/>
            <w:vMerge w:val="continue"/>
            <w:tcBorders>
              <w:top w:val="single" w:color="000000" w:sz="4" w:space="0"/>
              <w:left w:val="single" w:color="auto" w:sz="4" w:space="0"/>
              <w:bottom w:val="single" w:color="000000" w:sz="4" w:space="0"/>
              <w:right w:val="single" w:color="auto" w:sz="4" w:space="0"/>
            </w:tcBorders>
            <w:vAlign w:val="center"/>
          </w:tcPr>
          <w:p w14:paraId="59EC5A57">
            <w:pPr>
              <w:keepNext w:val="0"/>
              <w:keepLines w:val="0"/>
              <w:pageBreakBefore w:val="0"/>
              <w:widowControl/>
              <w:kinsoku/>
              <w:wordWrap/>
              <w:overflowPunct/>
              <w:topLinePunct w:val="0"/>
              <w:bidi w:val="0"/>
              <w:adjustRightInd/>
              <w:snapToGrid/>
              <w:spacing w:line="260" w:lineRule="exact"/>
              <w:jc w:val="left"/>
              <w:textAlignment w:val="auto"/>
              <w:rPr>
                <w:rFonts w:ascii="楷体" w:hAnsi="楷体" w:eastAsia="楷体" w:cs="宋体"/>
                <w:kern w:val="0"/>
                <w:sz w:val="22"/>
                <w:highlight w:val="none"/>
              </w:rPr>
            </w:pPr>
          </w:p>
        </w:tc>
        <w:tc>
          <w:tcPr>
            <w:tcW w:w="1417" w:type="dxa"/>
            <w:tcBorders>
              <w:top w:val="nil"/>
              <w:left w:val="nil"/>
              <w:bottom w:val="single" w:color="auto" w:sz="4" w:space="0"/>
              <w:right w:val="single" w:color="auto" w:sz="4" w:space="0"/>
            </w:tcBorders>
            <w:vAlign w:val="center"/>
          </w:tcPr>
          <w:p w14:paraId="590A0D09">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szCs w:val="22"/>
                <w:highlight w:val="none"/>
                <w:lang w:val="en-US" w:eastAsia="zh-CN" w:bidi="ar-SA"/>
              </w:rPr>
            </w:pPr>
            <w:r>
              <w:rPr>
                <w:rFonts w:hint="eastAsia" w:ascii="楷体" w:hAnsi="楷体" w:eastAsia="楷体" w:cs="宋体"/>
                <w:kern w:val="0"/>
                <w:sz w:val="22"/>
                <w:lang w:val="en-US" w:eastAsia="zh-CN"/>
              </w:rPr>
              <w:t>从重</w:t>
            </w:r>
          </w:p>
        </w:tc>
        <w:tc>
          <w:tcPr>
            <w:tcW w:w="3329" w:type="dxa"/>
            <w:tcBorders>
              <w:top w:val="nil"/>
              <w:left w:val="nil"/>
              <w:bottom w:val="single" w:color="auto" w:sz="4" w:space="0"/>
              <w:right w:val="single" w:color="auto" w:sz="4" w:space="0"/>
            </w:tcBorders>
            <w:vAlign w:val="center"/>
          </w:tcPr>
          <w:p w14:paraId="3B85543D">
            <w:pPr>
              <w:keepNext w:val="0"/>
              <w:keepLines w:val="0"/>
              <w:pageBreakBefore w:val="0"/>
              <w:widowControl/>
              <w:kinsoku/>
              <w:wordWrap/>
              <w:overflowPunct/>
              <w:topLinePunct w:val="0"/>
              <w:bidi w:val="0"/>
              <w:adjustRightInd/>
              <w:snapToGrid/>
              <w:spacing w:line="260" w:lineRule="exact"/>
              <w:jc w:val="both"/>
              <w:textAlignment w:val="auto"/>
              <w:rPr>
                <w:rFonts w:ascii="楷体" w:hAnsi="楷体" w:eastAsia="楷体" w:cs="宋体"/>
                <w:kern w:val="0"/>
                <w:sz w:val="22"/>
                <w:highlight w:val="none"/>
              </w:rPr>
            </w:pPr>
            <w:r>
              <w:rPr>
                <w:rFonts w:hint="eastAsia" w:ascii="楷体" w:hAnsi="楷体" w:eastAsia="楷体" w:cs="宋体"/>
                <w:kern w:val="0"/>
                <w:sz w:val="22"/>
                <w:highlight w:val="none"/>
                <w:lang w:val="en-US" w:eastAsia="zh-CN"/>
              </w:rPr>
              <w:t>对用人单位</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2倍至3倍</w:t>
            </w:r>
            <w:r>
              <w:rPr>
                <w:rFonts w:hint="eastAsia" w:ascii="楷体" w:hAnsi="楷体" w:eastAsia="楷体" w:cs="宋体"/>
                <w:kern w:val="0"/>
                <w:sz w:val="22"/>
                <w:highlight w:val="none"/>
              </w:rPr>
              <w:t>标准罚款</w:t>
            </w:r>
            <w:r>
              <w:rPr>
                <w:rFonts w:hint="eastAsia" w:ascii="楷体" w:hAnsi="楷体" w:eastAsia="楷体" w:cs="宋体"/>
                <w:kern w:val="0"/>
                <w:sz w:val="22"/>
                <w:highlight w:val="none"/>
                <w:lang w:eastAsia="zh-CN"/>
              </w:rPr>
              <w:t>，</w:t>
            </w:r>
            <w:r>
              <w:rPr>
                <w:rFonts w:hint="eastAsia" w:ascii="楷体" w:hAnsi="楷体" w:eastAsia="楷体" w:cs="宋体"/>
                <w:kern w:val="0"/>
                <w:sz w:val="22"/>
                <w:highlight w:val="none"/>
                <w:lang w:val="en-US" w:eastAsia="zh-CN"/>
              </w:rPr>
              <w:t>对其直接负责的主管人员和其他直接责任人员按照1750元以上至3000元标准罚款。</w:t>
            </w:r>
          </w:p>
        </w:tc>
      </w:tr>
      <w:tr w14:paraId="67A34B28">
        <w:tblPrEx>
          <w:tblCellMar>
            <w:top w:w="0" w:type="dxa"/>
            <w:left w:w="108" w:type="dxa"/>
            <w:bottom w:w="0" w:type="dxa"/>
            <w:right w:w="108" w:type="dxa"/>
          </w:tblCellMar>
        </w:tblPrEx>
        <w:trPr>
          <w:trHeight w:val="722" w:hRule="atLeast"/>
        </w:trPr>
        <w:tc>
          <w:tcPr>
            <w:tcW w:w="729" w:type="dxa"/>
            <w:vMerge w:val="restart"/>
            <w:tcBorders>
              <w:top w:val="single" w:color="000000" w:sz="4" w:space="0"/>
              <w:left w:val="single" w:color="auto" w:sz="4" w:space="0"/>
              <w:bottom w:val="single" w:color="000000" w:sz="4" w:space="0"/>
              <w:right w:val="single" w:color="auto" w:sz="4" w:space="0"/>
            </w:tcBorders>
            <w:vAlign w:val="center"/>
          </w:tcPr>
          <w:p w14:paraId="7603555D">
            <w:pPr>
              <w:widowControl/>
              <w:jc w:val="center"/>
              <w:rPr>
                <w:rFonts w:hint="default" w:ascii="楷体" w:hAnsi="楷体" w:eastAsia="楷体" w:cs="宋体"/>
                <w:kern w:val="0"/>
                <w:sz w:val="22"/>
                <w:highlight w:val="none"/>
                <w:lang w:val="en-US" w:eastAsia="zh-CN"/>
              </w:rPr>
            </w:pPr>
            <w:r>
              <w:rPr>
                <w:rFonts w:hint="eastAsia" w:ascii="楷体" w:hAnsi="楷体" w:eastAsia="楷体" w:cs="宋体"/>
                <w:kern w:val="0"/>
                <w:sz w:val="22"/>
                <w:highlight w:val="none"/>
                <w:lang w:val="en-US" w:eastAsia="zh-CN"/>
              </w:rPr>
              <w:t>8</w:t>
            </w:r>
          </w:p>
        </w:tc>
        <w:tc>
          <w:tcPr>
            <w:tcW w:w="3160" w:type="dxa"/>
            <w:vMerge w:val="restart"/>
            <w:tcBorders>
              <w:top w:val="single" w:color="000000" w:sz="4" w:space="0"/>
              <w:left w:val="single" w:color="auto" w:sz="4" w:space="0"/>
              <w:bottom w:val="single" w:color="000000" w:sz="4" w:space="0"/>
              <w:right w:val="single" w:color="auto" w:sz="4" w:space="0"/>
            </w:tcBorders>
            <w:vAlign w:val="center"/>
          </w:tcPr>
          <w:p w14:paraId="40FB982C">
            <w:pPr>
              <w:keepNext w:val="0"/>
              <w:keepLines w:val="0"/>
              <w:pageBreakBefore w:val="0"/>
              <w:widowControl/>
              <w:kinsoku/>
              <w:wordWrap/>
              <w:overflowPunct/>
              <w:topLinePunct w:val="0"/>
              <w:bidi w:val="0"/>
              <w:adjustRightInd/>
              <w:snapToGrid/>
              <w:spacing w:line="260" w:lineRule="exact"/>
              <w:jc w:val="left"/>
              <w:textAlignment w:val="auto"/>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采取虚报、隐瞒、伪造等手段，骗取医疗救助基金的</w:t>
            </w:r>
          </w:p>
          <w:p w14:paraId="5A56EED2">
            <w:pPr>
              <w:keepNext w:val="0"/>
              <w:keepLines w:val="0"/>
              <w:pageBreakBefore w:val="0"/>
              <w:widowControl/>
              <w:kinsoku/>
              <w:wordWrap/>
              <w:overflowPunct/>
              <w:topLinePunct w:val="0"/>
              <w:bidi w:val="0"/>
              <w:adjustRightInd/>
              <w:snapToGrid/>
              <w:spacing w:line="260" w:lineRule="exact"/>
              <w:jc w:val="left"/>
              <w:textAlignment w:val="auto"/>
              <w:rPr>
                <w:rFonts w:hint="eastAsia" w:ascii="楷体" w:hAnsi="楷体" w:eastAsia="楷体" w:cs="宋体"/>
                <w:kern w:val="0"/>
                <w:sz w:val="22"/>
                <w:lang w:eastAsia="zh-CN"/>
              </w:rPr>
            </w:pPr>
          </w:p>
        </w:tc>
        <w:tc>
          <w:tcPr>
            <w:tcW w:w="2036" w:type="dxa"/>
            <w:vMerge w:val="restart"/>
            <w:tcBorders>
              <w:top w:val="single" w:color="000000" w:sz="4" w:space="0"/>
              <w:left w:val="single" w:color="auto" w:sz="4" w:space="0"/>
              <w:bottom w:val="single" w:color="000000" w:sz="4" w:space="0"/>
              <w:right w:val="single" w:color="auto" w:sz="4" w:space="0"/>
            </w:tcBorders>
            <w:vAlign w:val="center"/>
          </w:tcPr>
          <w:p w14:paraId="6A8A96FD">
            <w:pPr>
              <w:keepNext w:val="0"/>
              <w:keepLines w:val="0"/>
              <w:pageBreakBefore w:val="0"/>
              <w:widowControl/>
              <w:kinsoku/>
              <w:wordWrap/>
              <w:overflowPunct/>
              <w:topLinePunct w:val="0"/>
              <w:bidi w:val="0"/>
              <w:adjustRightInd/>
              <w:snapToGrid/>
              <w:spacing w:line="260" w:lineRule="exact"/>
              <w:jc w:val="left"/>
              <w:textAlignment w:val="auto"/>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《社会救助暂行办法》第68条</w:t>
            </w:r>
          </w:p>
        </w:tc>
        <w:tc>
          <w:tcPr>
            <w:tcW w:w="3654" w:type="dxa"/>
            <w:vMerge w:val="restart"/>
            <w:tcBorders>
              <w:top w:val="single" w:color="000000" w:sz="4" w:space="0"/>
              <w:left w:val="single" w:color="auto" w:sz="4" w:space="0"/>
              <w:bottom w:val="single" w:color="000000" w:sz="4" w:space="0"/>
              <w:right w:val="single" w:color="auto" w:sz="4" w:space="0"/>
            </w:tcBorders>
            <w:vAlign w:val="center"/>
          </w:tcPr>
          <w:p w14:paraId="3BCD41B0">
            <w:pPr>
              <w:keepNext w:val="0"/>
              <w:keepLines w:val="0"/>
              <w:pageBreakBefore w:val="0"/>
              <w:widowControl/>
              <w:kinsoku/>
              <w:wordWrap/>
              <w:overflowPunct/>
              <w:topLinePunct w:val="0"/>
              <w:bidi w:val="0"/>
              <w:adjustRightInd/>
              <w:snapToGrid/>
              <w:spacing w:line="260" w:lineRule="exact"/>
              <w:jc w:val="left"/>
              <w:textAlignment w:val="auto"/>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停止医疗救助，责令退回非法获取的救助资金，可以处非法获取的救助款额或者物资价值1倍以上3倍以下的罚款。</w:t>
            </w:r>
          </w:p>
        </w:tc>
        <w:tc>
          <w:tcPr>
            <w:tcW w:w="1417" w:type="dxa"/>
            <w:tcBorders>
              <w:top w:val="single" w:color="auto" w:sz="4" w:space="0"/>
              <w:left w:val="nil"/>
              <w:bottom w:val="single" w:color="auto" w:sz="4" w:space="0"/>
              <w:right w:val="single" w:color="auto" w:sz="4" w:space="0"/>
            </w:tcBorders>
            <w:vAlign w:val="center"/>
          </w:tcPr>
          <w:p w14:paraId="066E0C9A">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val="en-US" w:eastAsia="zh-CN"/>
              </w:rPr>
            </w:pPr>
            <w:r>
              <w:rPr>
                <w:rFonts w:hint="eastAsia" w:ascii="楷体" w:hAnsi="楷体" w:eastAsia="楷体" w:cs="楷体"/>
                <w:b w:val="0"/>
                <w:bCs w:val="0"/>
                <w:color w:val="auto"/>
                <w:kern w:val="0"/>
                <w:sz w:val="22"/>
                <w:szCs w:val="22"/>
                <w:lang w:val="en-US" w:eastAsia="zh-CN"/>
              </w:rPr>
              <w:t>从轻</w:t>
            </w:r>
          </w:p>
        </w:tc>
        <w:tc>
          <w:tcPr>
            <w:tcW w:w="3329" w:type="dxa"/>
            <w:tcBorders>
              <w:top w:val="single" w:color="auto" w:sz="4" w:space="0"/>
              <w:left w:val="nil"/>
              <w:bottom w:val="single" w:color="auto" w:sz="4" w:space="0"/>
              <w:right w:val="single" w:color="auto" w:sz="4" w:space="0"/>
            </w:tcBorders>
            <w:vAlign w:val="center"/>
          </w:tcPr>
          <w:p w14:paraId="68A9F563">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按照1倍以上2倍以下标准罚款</w:t>
            </w:r>
          </w:p>
        </w:tc>
      </w:tr>
      <w:tr w14:paraId="6E9B467C">
        <w:tblPrEx>
          <w:tblCellMar>
            <w:top w:w="0" w:type="dxa"/>
            <w:left w:w="108" w:type="dxa"/>
            <w:bottom w:w="0" w:type="dxa"/>
            <w:right w:w="108" w:type="dxa"/>
          </w:tblCellMar>
        </w:tblPrEx>
        <w:trPr>
          <w:trHeight w:val="621" w:hRule="atLeast"/>
        </w:trPr>
        <w:tc>
          <w:tcPr>
            <w:tcW w:w="729" w:type="dxa"/>
            <w:vMerge w:val="continue"/>
            <w:tcBorders>
              <w:top w:val="single" w:color="000000" w:sz="4" w:space="0"/>
              <w:left w:val="single" w:color="auto" w:sz="4" w:space="0"/>
              <w:bottom w:val="single" w:color="000000" w:sz="4" w:space="0"/>
              <w:right w:val="single" w:color="auto" w:sz="4" w:space="0"/>
            </w:tcBorders>
            <w:vAlign w:val="center"/>
          </w:tcPr>
          <w:p w14:paraId="217C8568">
            <w:pPr>
              <w:widowControl/>
              <w:jc w:val="center"/>
              <w:rPr>
                <w:rFonts w:hint="eastAsia" w:ascii="楷体" w:hAnsi="楷体" w:eastAsia="楷体" w:cs="宋体"/>
                <w:kern w:val="0"/>
                <w:sz w:val="22"/>
                <w:highlight w:val="none"/>
                <w:lang w:val="en-US" w:eastAsia="zh-CN"/>
              </w:rPr>
            </w:pPr>
          </w:p>
        </w:tc>
        <w:tc>
          <w:tcPr>
            <w:tcW w:w="3160" w:type="dxa"/>
            <w:vMerge w:val="continue"/>
            <w:tcBorders>
              <w:top w:val="single" w:color="000000" w:sz="4" w:space="0"/>
              <w:left w:val="single" w:color="auto" w:sz="4" w:space="0"/>
              <w:bottom w:val="single" w:color="000000" w:sz="4" w:space="0"/>
              <w:right w:val="single" w:color="auto" w:sz="4" w:space="0"/>
            </w:tcBorders>
            <w:vAlign w:val="center"/>
          </w:tcPr>
          <w:p w14:paraId="1A02300F">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eastAsia="zh-CN"/>
              </w:rPr>
            </w:pPr>
          </w:p>
        </w:tc>
        <w:tc>
          <w:tcPr>
            <w:tcW w:w="2036" w:type="dxa"/>
            <w:vMerge w:val="continue"/>
            <w:tcBorders>
              <w:top w:val="single" w:color="000000" w:sz="4" w:space="0"/>
              <w:left w:val="single" w:color="auto" w:sz="4" w:space="0"/>
              <w:bottom w:val="single" w:color="000000" w:sz="4" w:space="0"/>
              <w:right w:val="single" w:color="auto" w:sz="4" w:space="0"/>
            </w:tcBorders>
            <w:vAlign w:val="center"/>
          </w:tcPr>
          <w:p w14:paraId="2B56BA3C">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val="en-US" w:eastAsia="zh-CN"/>
              </w:rPr>
            </w:pPr>
          </w:p>
        </w:tc>
        <w:tc>
          <w:tcPr>
            <w:tcW w:w="3654" w:type="dxa"/>
            <w:vMerge w:val="continue"/>
            <w:tcBorders>
              <w:top w:val="single" w:color="000000" w:sz="4" w:space="0"/>
              <w:left w:val="single" w:color="auto" w:sz="4" w:space="0"/>
              <w:bottom w:val="single" w:color="000000" w:sz="4" w:space="0"/>
              <w:right w:val="single" w:color="auto" w:sz="4" w:space="0"/>
            </w:tcBorders>
            <w:vAlign w:val="center"/>
          </w:tcPr>
          <w:p w14:paraId="047C323E">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val="en-US" w:eastAsia="zh-CN"/>
              </w:rPr>
            </w:pPr>
          </w:p>
        </w:tc>
        <w:tc>
          <w:tcPr>
            <w:tcW w:w="1417" w:type="dxa"/>
            <w:tcBorders>
              <w:top w:val="single" w:color="auto" w:sz="4" w:space="0"/>
              <w:left w:val="nil"/>
              <w:bottom w:val="single" w:color="auto" w:sz="4" w:space="0"/>
              <w:right w:val="single" w:color="auto" w:sz="4" w:space="0"/>
            </w:tcBorders>
            <w:vAlign w:val="center"/>
          </w:tcPr>
          <w:p w14:paraId="3CFEE101">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一般</w:t>
            </w:r>
          </w:p>
        </w:tc>
        <w:tc>
          <w:tcPr>
            <w:tcW w:w="3329" w:type="dxa"/>
            <w:tcBorders>
              <w:top w:val="single" w:color="auto" w:sz="4" w:space="0"/>
              <w:left w:val="nil"/>
              <w:bottom w:val="single" w:color="auto" w:sz="4" w:space="0"/>
              <w:right w:val="single" w:color="auto" w:sz="4" w:space="0"/>
            </w:tcBorders>
            <w:vAlign w:val="center"/>
          </w:tcPr>
          <w:p w14:paraId="10D31350">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按照2倍标准罚款</w:t>
            </w:r>
          </w:p>
        </w:tc>
      </w:tr>
      <w:tr w14:paraId="2E5D4B03">
        <w:tblPrEx>
          <w:tblCellMar>
            <w:top w:w="0" w:type="dxa"/>
            <w:left w:w="108" w:type="dxa"/>
            <w:bottom w:w="0" w:type="dxa"/>
            <w:right w:w="108" w:type="dxa"/>
          </w:tblCellMar>
        </w:tblPrEx>
        <w:trPr>
          <w:trHeight w:val="560" w:hRule="atLeast"/>
        </w:trPr>
        <w:tc>
          <w:tcPr>
            <w:tcW w:w="729" w:type="dxa"/>
            <w:vMerge w:val="continue"/>
            <w:tcBorders>
              <w:top w:val="single" w:color="000000" w:sz="4" w:space="0"/>
              <w:left w:val="single" w:color="auto" w:sz="4" w:space="0"/>
              <w:bottom w:val="single" w:color="000000" w:sz="4" w:space="0"/>
              <w:right w:val="single" w:color="auto" w:sz="4" w:space="0"/>
            </w:tcBorders>
            <w:vAlign w:val="center"/>
          </w:tcPr>
          <w:p w14:paraId="5E9873F6">
            <w:pPr>
              <w:widowControl/>
              <w:jc w:val="center"/>
              <w:rPr>
                <w:rFonts w:hint="eastAsia" w:ascii="楷体" w:hAnsi="楷体" w:eastAsia="楷体" w:cs="宋体"/>
                <w:kern w:val="0"/>
                <w:sz w:val="22"/>
                <w:highlight w:val="none"/>
                <w:lang w:val="en-US" w:eastAsia="zh-CN"/>
              </w:rPr>
            </w:pPr>
          </w:p>
        </w:tc>
        <w:tc>
          <w:tcPr>
            <w:tcW w:w="3160" w:type="dxa"/>
            <w:vMerge w:val="continue"/>
            <w:tcBorders>
              <w:top w:val="single" w:color="000000" w:sz="4" w:space="0"/>
              <w:left w:val="single" w:color="auto" w:sz="4" w:space="0"/>
              <w:bottom w:val="single" w:color="000000" w:sz="4" w:space="0"/>
              <w:right w:val="single" w:color="auto" w:sz="4" w:space="0"/>
            </w:tcBorders>
            <w:vAlign w:val="center"/>
          </w:tcPr>
          <w:p w14:paraId="28B6E9C6">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eastAsia="zh-CN"/>
              </w:rPr>
            </w:pPr>
          </w:p>
        </w:tc>
        <w:tc>
          <w:tcPr>
            <w:tcW w:w="2036" w:type="dxa"/>
            <w:vMerge w:val="continue"/>
            <w:tcBorders>
              <w:top w:val="single" w:color="000000" w:sz="4" w:space="0"/>
              <w:left w:val="single" w:color="auto" w:sz="4" w:space="0"/>
              <w:bottom w:val="single" w:color="000000" w:sz="4" w:space="0"/>
              <w:right w:val="single" w:color="auto" w:sz="4" w:space="0"/>
            </w:tcBorders>
            <w:vAlign w:val="center"/>
          </w:tcPr>
          <w:p w14:paraId="089E4C5A">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val="en-US" w:eastAsia="zh-CN"/>
              </w:rPr>
            </w:pPr>
          </w:p>
        </w:tc>
        <w:tc>
          <w:tcPr>
            <w:tcW w:w="3654" w:type="dxa"/>
            <w:vMerge w:val="continue"/>
            <w:tcBorders>
              <w:top w:val="single" w:color="000000" w:sz="4" w:space="0"/>
              <w:left w:val="single" w:color="auto" w:sz="4" w:space="0"/>
              <w:bottom w:val="single" w:color="000000" w:sz="4" w:space="0"/>
              <w:right w:val="single" w:color="auto" w:sz="4" w:space="0"/>
            </w:tcBorders>
            <w:vAlign w:val="center"/>
          </w:tcPr>
          <w:p w14:paraId="4DF0B11F">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val="en-US" w:eastAsia="zh-CN"/>
              </w:rPr>
            </w:pPr>
          </w:p>
        </w:tc>
        <w:tc>
          <w:tcPr>
            <w:tcW w:w="1417" w:type="dxa"/>
            <w:tcBorders>
              <w:top w:val="single" w:color="auto" w:sz="4" w:space="0"/>
              <w:left w:val="nil"/>
              <w:bottom w:val="single" w:color="auto" w:sz="4" w:space="0"/>
              <w:right w:val="single" w:color="auto" w:sz="4" w:space="0"/>
            </w:tcBorders>
            <w:vAlign w:val="center"/>
          </w:tcPr>
          <w:p w14:paraId="42BEDC71">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从重</w:t>
            </w:r>
          </w:p>
        </w:tc>
        <w:tc>
          <w:tcPr>
            <w:tcW w:w="3329" w:type="dxa"/>
            <w:tcBorders>
              <w:top w:val="single" w:color="auto" w:sz="4" w:space="0"/>
              <w:left w:val="nil"/>
              <w:bottom w:val="single" w:color="auto" w:sz="4" w:space="0"/>
              <w:right w:val="single" w:color="auto" w:sz="4" w:space="0"/>
            </w:tcBorders>
            <w:vAlign w:val="center"/>
          </w:tcPr>
          <w:p w14:paraId="3C41CE9D">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按照2倍以上至3倍标准罚款</w:t>
            </w:r>
          </w:p>
        </w:tc>
      </w:tr>
      <w:tr w14:paraId="64AA7239">
        <w:tblPrEx>
          <w:tblCellMar>
            <w:top w:w="0" w:type="dxa"/>
            <w:left w:w="108" w:type="dxa"/>
            <w:bottom w:w="0" w:type="dxa"/>
            <w:right w:w="108" w:type="dxa"/>
          </w:tblCellMar>
        </w:tblPrEx>
        <w:trPr>
          <w:trHeight w:val="1556" w:hRule="atLeast"/>
        </w:trPr>
        <w:tc>
          <w:tcPr>
            <w:tcW w:w="729" w:type="dxa"/>
            <w:vMerge w:val="restart"/>
            <w:tcBorders>
              <w:top w:val="single" w:color="000000" w:sz="4" w:space="0"/>
              <w:left w:val="single" w:color="auto" w:sz="4" w:space="0"/>
              <w:bottom w:val="single" w:color="000000" w:sz="4" w:space="0"/>
              <w:right w:val="single" w:color="auto" w:sz="4" w:space="0"/>
            </w:tcBorders>
            <w:vAlign w:val="center"/>
          </w:tcPr>
          <w:p w14:paraId="37A4A7CA">
            <w:pPr>
              <w:widowControl/>
              <w:spacing w:line="264" w:lineRule="auto"/>
              <w:jc w:val="center"/>
              <w:rPr>
                <w:rFonts w:hint="default" w:ascii="楷体" w:hAnsi="楷体" w:eastAsia="楷体" w:cs="宋体"/>
                <w:kern w:val="0"/>
                <w:sz w:val="22"/>
                <w:szCs w:val="22"/>
                <w:lang w:val="en-US" w:eastAsia="zh-CN" w:bidi="ar-SA"/>
              </w:rPr>
            </w:pPr>
            <w:r>
              <w:rPr>
                <w:rFonts w:hint="eastAsia" w:ascii="楷体" w:hAnsi="楷体" w:eastAsia="楷体" w:cs="楷体"/>
                <w:lang w:val="en-US" w:eastAsia="zh-CN"/>
              </w:rPr>
              <w:t>9</w:t>
            </w:r>
          </w:p>
        </w:tc>
        <w:tc>
          <w:tcPr>
            <w:tcW w:w="3160" w:type="dxa"/>
            <w:vMerge w:val="restart"/>
            <w:tcBorders>
              <w:top w:val="single" w:color="000000" w:sz="4" w:space="0"/>
              <w:left w:val="single" w:color="auto" w:sz="4" w:space="0"/>
              <w:bottom w:val="single" w:color="000000" w:sz="4" w:space="0"/>
              <w:right w:val="single" w:color="auto" w:sz="4" w:space="0"/>
            </w:tcBorders>
            <w:vAlign w:val="center"/>
          </w:tcPr>
          <w:p w14:paraId="74DB3345">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szCs w:val="22"/>
                <w:lang w:val="en-US" w:eastAsia="zh-CN" w:bidi="ar-SA"/>
              </w:rPr>
            </w:pPr>
            <w:r>
              <w:rPr>
                <w:rFonts w:hint="eastAsia" w:ascii="楷体" w:hAnsi="楷体" w:eastAsia="楷体" w:cs="宋体"/>
                <w:kern w:val="0"/>
                <w:sz w:val="22"/>
              </w:rPr>
              <w:t>参加药品采购投标的投标人以低于成本的报价竞标，或者以欺诈、串通投标、滥用市场支配地位等方式竞标的</w:t>
            </w:r>
          </w:p>
        </w:tc>
        <w:tc>
          <w:tcPr>
            <w:tcW w:w="2036" w:type="dxa"/>
            <w:vMerge w:val="restart"/>
            <w:tcBorders>
              <w:top w:val="single" w:color="000000" w:sz="4" w:space="0"/>
              <w:left w:val="single" w:color="auto" w:sz="4" w:space="0"/>
              <w:bottom w:val="single" w:color="000000" w:sz="4" w:space="0"/>
              <w:right w:val="single" w:color="auto" w:sz="4" w:space="0"/>
            </w:tcBorders>
            <w:vAlign w:val="center"/>
          </w:tcPr>
          <w:p w14:paraId="49E11E51">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szCs w:val="22"/>
                <w:lang w:val="en-US" w:eastAsia="zh-CN" w:bidi="ar-SA"/>
              </w:rPr>
            </w:pPr>
            <w:r>
              <w:rPr>
                <w:rFonts w:hint="eastAsia" w:ascii="楷体" w:hAnsi="楷体" w:eastAsia="楷体" w:cs="宋体"/>
                <w:kern w:val="0"/>
                <w:sz w:val="22"/>
              </w:rPr>
              <w:t>《基本医疗卫生与健康促进法》第103条</w:t>
            </w:r>
          </w:p>
        </w:tc>
        <w:tc>
          <w:tcPr>
            <w:tcW w:w="3654" w:type="dxa"/>
            <w:vMerge w:val="restart"/>
            <w:tcBorders>
              <w:top w:val="single" w:color="000000" w:sz="4" w:space="0"/>
              <w:left w:val="single" w:color="auto" w:sz="4" w:space="0"/>
              <w:bottom w:val="single" w:color="000000" w:sz="4" w:space="0"/>
              <w:right w:val="single" w:color="auto" w:sz="4" w:space="0"/>
            </w:tcBorders>
            <w:vAlign w:val="center"/>
          </w:tcPr>
          <w:p w14:paraId="3A7726A1">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color w:val="auto"/>
                <w:kern w:val="0"/>
                <w:sz w:val="22"/>
                <w:szCs w:val="22"/>
                <w:lang w:val="en-US" w:eastAsia="zh-CN" w:bidi="ar-SA"/>
              </w:rPr>
            </w:pPr>
            <w:r>
              <w:rPr>
                <w:rFonts w:hint="eastAsia" w:ascii="楷体" w:hAnsi="楷体" w:eastAsia="楷体" w:cs="宋体"/>
                <w:color w:val="auto"/>
                <w:kern w:val="0"/>
                <w:sz w:val="22"/>
              </w:rPr>
              <w:t>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1417" w:type="dxa"/>
            <w:tcBorders>
              <w:top w:val="single" w:color="auto" w:sz="4" w:space="0"/>
              <w:left w:val="nil"/>
              <w:bottom w:val="single" w:color="auto" w:sz="4" w:space="0"/>
              <w:right w:val="single" w:color="auto" w:sz="4" w:space="0"/>
            </w:tcBorders>
            <w:vAlign w:val="center"/>
          </w:tcPr>
          <w:p w14:paraId="6C27C691">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color w:val="auto"/>
                <w:kern w:val="0"/>
                <w:sz w:val="22"/>
                <w:szCs w:val="22"/>
                <w:highlight w:val="none"/>
                <w:lang w:val="en-US" w:eastAsia="zh-CN" w:bidi="ar-SA"/>
              </w:rPr>
            </w:pPr>
            <w:r>
              <w:rPr>
                <w:rFonts w:hint="eastAsia" w:ascii="楷体" w:hAnsi="楷体" w:eastAsia="楷体" w:cs="楷体"/>
                <w:b w:val="0"/>
                <w:bCs w:val="0"/>
                <w:color w:val="auto"/>
                <w:kern w:val="0"/>
                <w:sz w:val="22"/>
                <w:szCs w:val="22"/>
                <w:lang w:val="en-US" w:eastAsia="zh-CN"/>
              </w:rPr>
              <w:t>从轻</w:t>
            </w:r>
          </w:p>
        </w:tc>
        <w:tc>
          <w:tcPr>
            <w:tcW w:w="3329" w:type="dxa"/>
            <w:tcBorders>
              <w:top w:val="single" w:color="auto" w:sz="4" w:space="0"/>
              <w:left w:val="nil"/>
              <w:bottom w:val="single" w:color="auto" w:sz="4" w:space="0"/>
              <w:right w:val="single" w:color="auto" w:sz="4" w:space="0"/>
            </w:tcBorders>
            <w:vAlign w:val="center"/>
          </w:tcPr>
          <w:p w14:paraId="05379F63">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color w:val="auto"/>
                <w:kern w:val="0"/>
                <w:sz w:val="22"/>
                <w:szCs w:val="24"/>
                <w:highlight w:val="none"/>
                <w:lang w:val="en-US" w:eastAsia="zh-CN" w:bidi="ar-SA"/>
              </w:rPr>
            </w:pPr>
            <w:r>
              <w:rPr>
                <w:rFonts w:hint="eastAsia" w:ascii="楷体" w:hAnsi="楷体" w:eastAsia="楷体" w:cs="宋体"/>
                <w:kern w:val="0"/>
                <w:sz w:val="22"/>
                <w:lang w:eastAsia="zh-CN"/>
              </w:rPr>
              <w:t>责令改正，没收违法所得；中标的，中标无效；处中标项目金额千分之五的罚款；对法定代表人、主要负责人、直接负责的主管人员和其他责任人员处对单位罚款数额百分之五的罚款</w:t>
            </w:r>
          </w:p>
        </w:tc>
      </w:tr>
      <w:tr w14:paraId="6694D4C9">
        <w:tblPrEx>
          <w:tblCellMar>
            <w:top w:w="0" w:type="dxa"/>
            <w:left w:w="108" w:type="dxa"/>
            <w:bottom w:w="0" w:type="dxa"/>
            <w:right w:w="108" w:type="dxa"/>
          </w:tblCellMar>
        </w:tblPrEx>
        <w:trPr>
          <w:trHeight w:val="2148" w:hRule="atLeast"/>
        </w:trPr>
        <w:tc>
          <w:tcPr>
            <w:tcW w:w="729" w:type="dxa"/>
            <w:vMerge w:val="continue"/>
            <w:tcBorders>
              <w:top w:val="single" w:color="000000" w:sz="4" w:space="0"/>
              <w:left w:val="single" w:color="auto" w:sz="4" w:space="0"/>
              <w:bottom w:val="single" w:color="000000" w:sz="4" w:space="0"/>
              <w:right w:val="single" w:color="auto" w:sz="4" w:space="0"/>
            </w:tcBorders>
            <w:vAlign w:val="center"/>
          </w:tcPr>
          <w:p w14:paraId="75B034D2">
            <w:pPr>
              <w:widowControl/>
              <w:spacing w:line="264" w:lineRule="auto"/>
              <w:jc w:val="left"/>
              <w:rPr>
                <w:rFonts w:hint="eastAsia" w:ascii="楷体" w:hAnsi="楷体" w:eastAsia="楷体" w:cs="宋体"/>
                <w:kern w:val="0"/>
                <w:sz w:val="22"/>
                <w:szCs w:val="22"/>
                <w:lang w:val="en-US" w:eastAsia="zh-CN" w:bidi="ar-SA"/>
              </w:rPr>
            </w:pPr>
          </w:p>
        </w:tc>
        <w:tc>
          <w:tcPr>
            <w:tcW w:w="3160" w:type="dxa"/>
            <w:vMerge w:val="continue"/>
            <w:tcBorders>
              <w:top w:val="single" w:color="000000" w:sz="4" w:space="0"/>
              <w:left w:val="single" w:color="auto" w:sz="4" w:space="0"/>
              <w:bottom w:val="single" w:color="000000" w:sz="4" w:space="0"/>
              <w:right w:val="single" w:color="auto" w:sz="4" w:space="0"/>
            </w:tcBorders>
            <w:vAlign w:val="center"/>
          </w:tcPr>
          <w:p w14:paraId="2E4EBAC0">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szCs w:val="22"/>
                <w:lang w:val="en-US" w:eastAsia="zh-CN" w:bidi="ar-SA"/>
              </w:rPr>
            </w:pPr>
          </w:p>
        </w:tc>
        <w:tc>
          <w:tcPr>
            <w:tcW w:w="2036" w:type="dxa"/>
            <w:vMerge w:val="continue"/>
            <w:tcBorders>
              <w:top w:val="single" w:color="000000" w:sz="4" w:space="0"/>
              <w:left w:val="single" w:color="auto" w:sz="4" w:space="0"/>
              <w:bottom w:val="single" w:color="000000" w:sz="4" w:space="0"/>
              <w:right w:val="single" w:color="auto" w:sz="4" w:space="0"/>
            </w:tcBorders>
            <w:vAlign w:val="center"/>
          </w:tcPr>
          <w:p w14:paraId="2406C29A">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szCs w:val="22"/>
                <w:lang w:val="en-US" w:eastAsia="zh-CN" w:bidi="ar-SA"/>
              </w:rPr>
            </w:pPr>
          </w:p>
        </w:tc>
        <w:tc>
          <w:tcPr>
            <w:tcW w:w="3654" w:type="dxa"/>
            <w:vMerge w:val="continue"/>
            <w:tcBorders>
              <w:top w:val="single" w:color="000000" w:sz="4" w:space="0"/>
              <w:left w:val="single" w:color="auto" w:sz="4" w:space="0"/>
              <w:bottom w:val="single" w:color="000000" w:sz="4" w:space="0"/>
              <w:right w:val="single" w:color="auto" w:sz="4" w:space="0"/>
            </w:tcBorders>
            <w:vAlign w:val="center"/>
          </w:tcPr>
          <w:p w14:paraId="032F9AFF">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color w:val="auto"/>
                <w:kern w:val="0"/>
                <w:sz w:val="22"/>
                <w:szCs w:val="22"/>
                <w:lang w:val="en-US" w:eastAsia="zh-CN" w:bidi="ar-SA"/>
              </w:rPr>
            </w:pPr>
          </w:p>
        </w:tc>
        <w:tc>
          <w:tcPr>
            <w:tcW w:w="1417" w:type="dxa"/>
            <w:tcBorders>
              <w:top w:val="single" w:color="auto" w:sz="4" w:space="0"/>
              <w:left w:val="nil"/>
              <w:bottom w:val="single" w:color="auto" w:sz="4" w:space="0"/>
              <w:right w:val="single" w:color="auto" w:sz="4" w:space="0"/>
            </w:tcBorders>
            <w:vAlign w:val="center"/>
          </w:tcPr>
          <w:p w14:paraId="60686500">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color w:val="auto"/>
                <w:kern w:val="0"/>
                <w:sz w:val="22"/>
                <w:szCs w:val="22"/>
                <w:highlight w:val="none"/>
                <w:lang w:val="en-US" w:eastAsia="zh-CN" w:bidi="ar-SA"/>
              </w:rPr>
            </w:pPr>
            <w:r>
              <w:rPr>
                <w:rFonts w:hint="eastAsia" w:ascii="楷体" w:hAnsi="楷体" w:eastAsia="楷体" w:cs="宋体"/>
                <w:kern w:val="0"/>
                <w:sz w:val="22"/>
                <w:lang w:val="en-US" w:eastAsia="zh-CN"/>
              </w:rPr>
              <w:t>一般</w:t>
            </w:r>
          </w:p>
        </w:tc>
        <w:tc>
          <w:tcPr>
            <w:tcW w:w="3329" w:type="dxa"/>
            <w:tcBorders>
              <w:top w:val="single" w:color="auto" w:sz="4" w:space="0"/>
              <w:left w:val="nil"/>
              <w:bottom w:val="single" w:color="auto" w:sz="4" w:space="0"/>
              <w:right w:val="single" w:color="auto" w:sz="4" w:space="0"/>
            </w:tcBorders>
            <w:vAlign w:val="center"/>
          </w:tcPr>
          <w:p w14:paraId="7D4A8D85">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color w:val="auto"/>
                <w:kern w:val="0"/>
                <w:sz w:val="22"/>
                <w:szCs w:val="24"/>
                <w:highlight w:val="none"/>
                <w:lang w:val="en-US" w:eastAsia="zh-CN" w:bidi="ar-SA"/>
              </w:rPr>
            </w:pPr>
            <w:r>
              <w:rPr>
                <w:rFonts w:hint="eastAsia" w:ascii="楷体" w:hAnsi="楷体" w:eastAsia="楷体" w:cs="宋体"/>
                <w:kern w:val="0"/>
                <w:sz w:val="22"/>
                <w:lang w:eastAsia="zh-CN"/>
              </w:rPr>
              <w:t>责令改正，没收违法所得；中标的，中标无效；处中标项目金额千分之七点五的罚款；对法定代表人、主要负责人、直接负责的主管人员和其他责任人员处对单位罚款数额百分之七点五的罚款；取消其两年内参加药品采购投标的资格并予以公告</w:t>
            </w:r>
          </w:p>
        </w:tc>
      </w:tr>
      <w:tr w14:paraId="7E47F472">
        <w:tblPrEx>
          <w:tblCellMar>
            <w:top w:w="0" w:type="dxa"/>
            <w:left w:w="108" w:type="dxa"/>
            <w:bottom w:w="0" w:type="dxa"/>
            <w:right w:w="108" w:type="dxa"/>
          </w:tblCellMar>
        </w:tblPrEx>
        <w:trPr>
          <w:trHeight w:val="2080" w:hRule="atLeast"/>
        </w:trPr>
        <w:tc>
          <w:tcPr>
            <w:tcW w:w="729" w:type="dxa"/>
            <w:vMerge w:val="continue"/>
            <w:tcBorders>
              <w:top w:val="single" w:color="000000" w:sz="4" w:space="0"/>
              <w:left w:val="single" w:color="auto" w:sz="4" w:space="0"/>
              <w:bottom w:val="single" w:color="000000" w:sz="4" w:space="0"/>
              <w:right w:val="single" w:color="auto" w:sz="4" w:space="0"/>
            </w:tcBorders>
            <w:vAlign w:val="center"/>
          </w:tcPr>
          <w:p w14:paraId="725EF793">
            <w:pPr>
              <w:widowControl/>
              <w:spacing w:line="264" w:lineRule="auto"/>
              <w:jc w:val="both"/>
              <w:rPr>
                <w:rFonts w:hint="eastAsia" w:ascii="楷体" w:hAnsi="楷体" w:eastAsia="楷体" w:cs="宋体"/>
                <w:kern w:val="0"/>
                <w:sz w:val="22"/>
                <w:szCs w:val="22"/>
                <w:lang w:val="en-US" w:eastAsia="zh-CN" w:bidi="ar-SA"/>
              </w:rPr>
            </w:pPr>
          </w:p>
        </w:tc>
        <w:tc>
          <w:tcPr>
            <w:tcW w:w="3160" w:type="dxa"/>
            <w:vMerge w:val="continue"/>
            <w:tcBorders>
              <w:top w:val="single" w:color="000000" w:sz="4" w:space="0"/>
              <w:left w:val="single" w:color="auto" w:sz="4" w:space="0"/>
              <w:bottom w:val="single" w:color="000000" w:sz="4" w:space="0"/>
              <w:right w:val="single" w:color="auto" w:sz="4" w:space="0"/>
            </w:tcBorders>
            <w:vAlign w:val="center"/>
          </w:tcPr>
          <w:p w14:paraId="693BBC2B">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szCs w:val="22"/>
                <w:lang w:val="en-US" w:eastAsia="zh-CN" w:bidi="ar-SA"/>
              </w:rPr>
            </w:pPr>
          </w:p>
        </w:tc>
        <w:tc>
          <w:tcPr>
            <w:tcW w:w="2036" w:type="dxa"/>
            <w:vMerge w:val="continue"/>
            <w:tcBorders>
              <w:top w:val="single" w:color="000000" w:sz="4" w:space="0"/>
              <w:left w:val="single" w:color="auto" w:sz="4" w:space="0"/>
              <w:bottom w:val="single" w:color="000000" w:sz="4" w:space="0"/>
              <w:right w:val="single" w:color="auto" w:sz="4" w:space="0"/>
            </w:tcBorders>
            <w:vAlign w:val="center"/>
          </w:tcPr>
          <w:p w14:paraId="03198EF5">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kern w:val="0"/>
                <w:sz w:val="22"/>
                <w:szCs w:val="22"/>
                <w:lang w:val="en-US" w:eastAsia="zh-CN" w:bidi="ar-SA"/>
              </w:rPr>
            </w:pPr>
          </w:p>
        </w:tc>
        <w:tc>
          <w:tcPr>
            <w:tcW w:w="3654" w:type="dxa"/>
            <w:vMerge w:val="continue"/>
            <w:tcBorders>
              <w:top w:val="single" w:color="000000" w:sz="4" w:space="0"/>
              <w:left w:val="single" w:color="auto" w:sz="4" w:space="0"/>
              <w:bottom w:val="single" w:color="000000" w:sz="4" w:space="0"/>
              <w:right w:val="single" w:color="auto" w:sz="4" w:space="0"/>
            </w:tcBorders>
            <w:vAlign w:val="center"/>
          </w:tcPr>
          <w:p w14:paraId="77870704">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color w:val="auto"/>
                <w:kern w:val="0"/>
                <w:sz w:val="22"/>
                <w:szCs w:val="22"/>
                <w:lang w:val="en-US" w:eastAsia="zh-CN" w:bidi="ar-SA"/>
              </w:rPr>
            </w:pPr>
          </w:p>
        </w:tc>
        <w:tc>
          <w:tcPr>
            <w:tcW w:w="1417" w:type="dxa"/>
            <w:tcBorders>
              <w:top w:val="single" w:color="auto" w:sz="4" w:space="0"/>
              <w:left w:val="nil"/>
              <w:bottom w:val="single" w:color="auto" w:sz="4" w:space="0"/>
              <w:right w:val="single" w:color="auto" w:sz="4" w:space="0"/>
            </w:tcBorders>
            <w:vAlign w:val="center"/>
          </w:tcPr>
          <w:p w14:paraId="37128581">
            <w:pPr>
              <w:keepNext w:val="0"/>
              <w:keepLines w:val="0"/>
              <w:pageBreakBefore w:val="0"/>
              <w:widowControl/>
              <w:kinsoku/>
              <w:wordWrap/>
              <w:overflowPunct/>
              <w:topLinePunct w:val="0"/>
              <w:bidi w:val="0"/>
              <w:adjustRightInd/>
              <w:snapToGrid/>
              <w:spacing w:line="260" w:lineRule="exact"/>
              <w:jc w:val="center"/>
              <w:textAlignment w:val="auto"/>
              <w:rPr>
                <w:rFonts w:hint="eastAsia" w:ascii="楷体" w:hAnsi="楷体" w:eastAsia="楷体" w:cs="宋体"/>
                <w:kern w:val="0"/>
                <w:sz w:val="22"/>
                <w:szCs w:val="24"/>
                <w:lang w:val="en-US" w:eastAsia="zh-CN" w:bidi="ar-SA"/>
              </w:rPr>
            </w:pPr>
            <w:r>
              <w:rPr>
                <w:rFonts w:hint="eastAsia" w:ascii="楷体" w:hAnsi="楷体" w:eastAsia="楷体" w:cs="宋体"/>
                <w:kern w:val="0"/>
                <w:sz w:val="22"/>
                <w:lang w:val="en-US" w:eastAsia="zh-CN"/>
              </w:rPr>
              <w:t>从重</w:t>
            </w:r>
          </w:p>
        </w:tc>
        <w:tc>
          <w:tcPr>
            <w:tcW w:w="3329" w:type="dxa"/>
            <w:tcBorders>
              <w:top w:val="single" w:color="auto" w:sz="4" w:space="0"/>
              <w:left w:val="nil"/>
              <w:bottom w:val="single" w:color="auto" w:sz="4" w:space="0"/>
              <w:right w:val="single" w:color="auto" w:sz="4" w:space="0"/>
            </w:tcBorders>
            <w:vAlign w:val="center"/>
          </w:tcPr>
          <w:p w14:paraId="12E9A7A0">
            <w:pPr>
              <w:keepNext w:val="0"/>
              <w:keepLines w:val="0"/>
              <w:pageBreakBefore w:val="0"/>
              <w:widowControl/>
              <w:kinsoku/>
              <w:wordWrap/>
              <w:overflowPunct/>
              <w:topLinePunct w:val="0"/>
              <w:bidi w:val="0"/>
              <w:adjustRightInd/>
              <w:snapToGrid/>
              <w:spacing w:line="260" w:lineRule="exact"/>
              <w:jc w:val="both"/>
              <w:textAlignment w:val="auto"/>
              <w:rPr>
                <w:rFonts w:hint="eastAsia" w:ascii="楷体" w:hAnsi="楷体" w:eastAsia="楷体" w:cs="宋体"/>
                <w:color w:val="auto"/>
                <w:kern w:val="0"/>
                <w:sz w:val="22"/>
                <w:szCs w:val="24"/>
                <w:highlight w:val="none"/>
                <w:lang w:val="en-US" w:eastAsia="zh-CN" w:bidi="ar-SA"/>
              </w:rPr>
            </w:pPr>
            <w:r>
              <w:rPr>
                <w:rFonts w:hint="eastAsia" w:ascii="楷体" w:hAnsi="楷体" w:eastAsia="楷体" w:cs="宋体"/>
                <w:kern w:val="0"/>
                <w:sz w:val="22"/>
                <w:lang w:eastAsia="zh-CN"/>
              </w:rPr>
              <w:t>责令改正，没收违法所得；中标的，中标无效；处中标项目金额千分之十的罚款；对法定代表人、主要负责人、直接负责的主管人员和其他责任人员处对单位罚款数额百分之十的罚款；取消其三年至五年内参加药品采购投标的资格并予以公告</w:t>
            </w:r>
          </w:p>
        </w:tc>
      </w:tr>
    </w:tbl>
    <w:p w14:paraId="02CE9A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注：表中“违法行为”“法律依据”“法律责任”栏内容均出自相应的法律法规。</w:t>
      </w:r>
    </w:p>
    <w:p w14:paraId="3FBD0205">
      <w:pPr>
        <w:pStyle w:val="2"/>
        <w:numPr>
          <w:ilvl w:val="0"/>
          <w:numId w:val="0"/>
        </w:numPr>
        <w:ind w:left="560" w:leftChars="0"/>
        <w:rPr>
          <w:rFonts w:hint="default" w:ascii="仿宋_GB2312" w:hAnsi="仿宋_GB2312" w:eastAsia="仿宋_GB2312" w:cs="仿宋_GB2312"/>
          <w:sz w:val="28"/>
          <w:szCs w:val="28"/>
          <w:lang w:val="en-US" w:eastAsia="zh-CN"/>
        </w:rPr>
      </w:pPr>
    </w:p>
    <w:sectPr>
      <w:pgSz w:w="16838" w:h="11906" w:orient="landscape"/>
      <w:pgMar w:top="1417" w:right="2098" w:bottom="1417" w:left="209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A59E68E-F3FD-496C-8931-8FED69A581B7}"/>
  </w:font>
  <w:font w:name="方正小标宋简体">
    <w:panose1 w:val="02000000000000000000"/>
    <w:charset w:val="86"/>
    <w:family w:val="auto"/>
    <w:pitch w:val="default"/>
    <w:sig w:usb0="00000001" w:usb1="08000000" w:usb2="00000000" w:usb3="00000000" w:csb0="00040000" w:csb1="00000000"/>
    <w:embedRegular r:id="rId2" w:fontKey="{DEC51D83-8E08-4770-B640-249A15DA95FF}"/>
  </w:font>
  <w:font w:name="楷体">
    <w:panose1 w:val="02010609060101010101"/>
    <w:charset w:val="86"/>
    <w:family w:val="auto"/>
    <w:pitch w:val="default"/>
    <w:sig w:usb0="800002BF" w:usb1="38CF7CFA" w:usb2="00000016" w:usb3="00000000" w:csb0="00040001" w:csb1="00000000"/>
    <w:embedRegular r:id="rId3" w:fontKey="{F5180128-52F0-4F6C-8E4F-3A24FEACF769}"/>
  </w:font>
  <w:font w:name="仿宋_GB2312">
    <w:altName w:val="仿宋"/>
    <w:panose1 w:val="02010609030101010101"/>
    <w:charset w:val="86"/>
    <w:family w:val="auto"/>
    <w:pitch w:val="default"/>
    <w:sig w:usb0="00000000" w:usb1="00000000" w:usb2="00000000" w:usb3="00000000" w:csb0="00040000" w:csb1="00000000"/>
    <w:embedRegular r:id="rId4" w:fontKey="{FC6F90EE-94AD-4740-B031-BB21F7735A9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zdkOWI5ODVkYmU1YzY1MWVlOTA4NjIwYzRkNjQifQ=="/>
  </w:docVars>
  <w:rsids>
    <w:rsidRoot w:val="2E9765A6"/>
    <w:rsid w:val="000306C4"/>
    <w:rsid w:val="012553ED"/>
    <w:rsid w:val="015E3497"/>
    <w:rsid w:val="0349201C"/>
    <w:rsid w:val="076D7AC9"/>
    <w:rsid w:val="095A2875"/>
    <w:rsid w:val="0A340810"/>
    <w:rsid w:val="0A4C09E8"/>
    <w:rsid w:val="0B2D43BF"/>
    <w:rsid w:val="0DDA26EF"/>
    <w:rsid w:val="0E606361"/>
    <w:rsid w:val="11F27855"/>
    <w:rsid w:val="164D4CAB"/>
    <w:rsid w:val="169277AD"/>
    <w:rsid w:val="16D32697"/>
    <w:rsid w:val="18D62F2D"/>
    <w:rsid w:val="191964F7"/>
    <w:rsid w:val="19410CB1"/>
    <w:rsid w:val="1A593BFB"/>
    <w:rsid w:val="1A6B6F85"/>
    <w:rsid w:val="1FB259C0"/>
    <w:rsid w:val="29C11D8A"/>
    <w:rsid w:val="2E9765A6"/>
    <w:rsid w:val="30395E4B"/>
    <w:rsid w:val="326B7882"/>
    <w:rsid w:val="327E02DE"/>
    <w:rsid w:val="36EB6967"/>
    <w:rsid w:val="375A58AD"/>
    <w:rsid w:val="392E6E5C"/>
    <w:rsid w:val="3ACD7780"/>
    <w:rsid w:val="3C0B3978"/>
    <w:rsid w:val="3D490764"/>
    <w:rsid w:val="420E6C4F"/>
    <w:rsid w:val="4CD001FD"/>
    <w:rsid w:val="4E610392"/>
    <w:rsid w:val="4EC15220"/>
    <w:rsid w:val="51D23FF3"/>
    <w:rsid w:val="56426FD8"/>
    <w:rsid w:val="5D2935D3"/>
    <w:rsid w:val="5E697CED"/>
    <w:rsid w:val="61FF49B9"/>
    <w:rsid w:val="677A4303"/>
    <w:rsid w:val="68686B95"/>
    <w:rsid w:val="69C3198D"/>
    <w:rsid w:val="6EFE30C6"/>
    <w:rsid w:val="75A628DE"/>
    <w:rsid w:val="75EF5206"/>
    <w:rsid w:val="78C118AF"/>
    <w:rsid w:val="7E38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3379</Words>
  <Characters>3455</Characters>
  <Lines>0</Lines>
  <Paragraphs>0</Paragraphs>
  <TotalTime>8</TotalTime>
  <ScaleCrop>false</ScaleCrop>
  <LinksUpToDate>false</LinksUpToDate>
  <CharactersWithSpaces>3462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2021-07-12T06:29:00Z</dcterms:created>
  <dc:creator>王皓</dc:creator>
  <cp:lastModifiedBy>明明你</cp:lastModifiedBy>
  <dcterms:modified xsi:type="dcterms:W3CDTF">2024-08-27T06:40:08Z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9748264E55674363B953A219DC142E1E_12</vt:lpwstr>
  </property>
</Properties>
</file>