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both"/>
        <w:textAlignment w:val="auto"/>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bookmarkStart w:id="0" w:name="_GoBack"/>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贵州省医疗保障行政处罚裁量权基准</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_GBK" w:cs="方正小标宋_GBK"/>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适用办法（试行）</w:t>
      </w:r>
    </w:p>
    <w:bookmarkEnd w:id="0"/>
    <w:p>
      <w:pPr>
        <w:pStyle w:val="2"/>
        <w:rPr>
          <w:rFonts w:hint="eastAsia" w:ascii="Times New Roman" w:hAnsi="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楷体_GB2312"/>
          <w:color w:val="000000" w:themeColor="text1"/>
          <w:kern w:val="2"/>
          <w:sz w:val="32"/>
          <w:szCs w:val="32"/>
          <w:lang w:val="en-US" w:eastAsia="zh-CN" w:bidi="ar-SA"/>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第一条</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为规范</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贵州省</w:t>
      </w:r>
      <w:r>
        <w:rPr>
          <w:rFonts w:hint="eastAsia" w:ascii="Times New Roman" w:hAnsi="Times New Roman" w:eastAsia="仿宋_GB2312" w:cs="仿宋_GB2312"/>
          <w:color w:val="000000" w:themeColor="text1"/>
          <w:sz w:val="32"/>
          <w:szCs w:val="32"/>
          <w14:textFill>
            <w14:solidFill>
              <w14:schemeClr w14:val="tx1"/>
            </w14:solidFill>
          </w14:textFill>
        </w:rPr>
        <w:t>医疗保障行政部门合法、合理、适当地行使行政处罚裁量权，保护公民、法人和其他组织的合法权益，</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根据《中华人民共和国行政处罚法》《医疗保障基金使用监督管理条例》</w:t>
      </w:r>
      <w:r>
        <w:rPr>
          <w:rFonts w:hint="eastAsia" w:ascii="Times New Roman" w:hAnsi="Times New Roman" w:eastAsia="仿宋_GB2312" w:cs="仿宋_GB2312"/>
          <w:color w:val="000000" w:themeColor="text1"/>
          <w:sz w:val="32"/>
          <w:szCs w:val="32"/>
          <w14:textFill>
            <w14:solidFill>
              <w14:schemeClr w14:val="tx1"/>
            </w14:solidFill>
          </w14:textFill>
        </w:rPr>
        <w:t>等相关法律法规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按照《规范医疗保障基金使用监督管理行政处罚裁量权办法》（医保发〔2021〕35号）《贵州省行政执法监督办法》（省政府第179号令）要求，</w:t>
      </w:r>
      <w:r>
        <w:rPr>
          <w:rFonts w:hint="eastAsia" w:ascii="Times New Roman" w:hAnsi="Times New Roman" w:eastAsia="仿宋_GB2312" w:cs="仿宋_GB2312"/>
          <w:i w:val="0"/>
          <w:caps w:val="0"/>
          <w:color w:val="000000" w:themeColor="text1"/>
          <w:spacing w:val="0"/>
          <w:sz w:val="32"/>
          <w:szCs w:val="32"/>
          <w:shd w:val="clear" w:color="auto" w:fill="FFFFFF"/>
          <w14:textFill>
            <w14:solidFill>
              <w14:schemeClr w14:val="tx1"/>
            </w14:solidFill>
          </w14:textFill>
        </w:rPr>
        <w:t>结合我省工作实际</w:t>
      </w:r>
      <w:r>
        <w:rPr>
          <w:rFonts w:hint="eastAsia" w:ascii="Times New Roman" w:hAnsi="Times New Roman"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制定本</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办法</w:t>
      </w:r>
      <w:r>
        <w:rPr>
          <w:rFonts w:hint="eastAsia" w:ascii="Times New Roman" w:hAnsi="Times New Roman"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第二条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本</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办法</w:t>
      </w:r>
      <w:r>
        <w:rPr>
          <w:rFonts w:hint="eastAsia" w:ascii="Times New Roman" w:hAnsi="Times New Roman" w:eastAsia="仿宋_GB2312" w:cs="仿宋_GB2312"/>
          <w:color w:val="000000" w:themeColor="text1"/>
          <w:sz w:val="32"/>
          <w:szCs w:val="32"/>
          <w14:textFill>
            <w14:solidFill>
              <w14:schemeClr w14:val="tx1"/>
            </w14:solidFill>
          </w14:textFill>
        </w:rPr>
        <w:t>所称医疗保障基金使用监督管理行政处罚裁量权，是指医疗保障行政部门在实施医疗保障基金使用监督管理行政处罚时，根据法律、法规、规章等规定，综合考虑违法行为的事实、性质、情节、社会危害程度以及当事人主观过错等因素，决定行政处罚种类及处罚幅度的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第三条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全省各级</w:t>
      </w:r>
      <w:r>
        <w:rPr>
          <w:rFonts w:hint="eastAsia" w:ascii="Times New Roman" w:hAnsi="Times New Roman" w:eastAsia="仿宋_GB2312" w:cs="仿宋_GB2312"/>
          <w:color w:val="000000" w:themeColor="text1"/>
          <w:sz w:val="32"/>
          <w:szCs w:val="32"/>
          <w14:textFill>
            <w14:solidFill>
              <w14:schemeClr w14:val="tx1"/>
            </w14:solidFill>
          </w14:textFill>
        </w:rPr>
        <w:t>医疗保障行政部门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行使</w:t>
      </w:r>
      <w:r>
        <w:rPr>
          <w:rFonts w:hint="eastAsia" w:ascii="Times New Roman" w:hAnsi="Times New Roman" w:eastAsia="仿宋_GB2312" w:cs="仿宋_GB2312"/>
          <w:color w:val="000000" w:themeColor="text1"/>
          <w:sz w:val="32"/>
          <w:szCs w:val="32"/>
          <w14:textFill>
            <w14:solidFill>
              <w14:schemeClr w14:val="tx1"/>
            </w14:solidFill>
          </w14:textFill>
        </w:rPr>
        <w:t>行政处罚裁量权，适用本</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办法。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仿宋_GB2312"/>
          <w:b w:val="0"/>
          <w:bCs w:val="0"/>
          <w:color w:val="000000" w:themeColor="text1"/>
          <w:sz w:val="32"/>
          <w:szCs w:val="32"/>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第四条</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sz w:val="32"/>
          <w:szCs w:val="32"/>
          <w14:textFill>
            <w14:solidFill>
              <w14:schemeClr w14:val="tx1"/>
            </w14:solidFill>
          </w14:textFill>
        </w:rPr>
        <w:t>行使行政处罚裁量权，应当以事实为依据，行政处罚的种类和幅度应当与违法行为的事实、性质、情节、社会危害程度相当</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，与违法行为发生地的经济社会发展水平相适应</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14:textFill>
            <w14:solidFill>
              <w14:schemeClr w14:val="tx1"/>
            </w14:solidFill>
          </w14:textFill>
        </w:rPr>
        <w:t>遵循公正、公开及过罚相当</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及综合裁量等原则，坚持</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处罚与教育</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、执法与普法</w:t>
      </w:r>
      <w:r>
        <w:rPr>
          <w:rFonts w:hint="eastAsia" w:ascii="Times New Roman" w:hAnsi="Times New Roman" w:eastAsia="仿宋_GB2312" w:cs="仿宋_GB2312"/>
          <w:b w:val="0"/>
          <w:bCs w:val="0"/>
          <w:color w:val="000000" w:themeColor="text1"/>
          <w:sz w:val="32"/>
          <w:szCs w:val="32"/>
          <w14:textFill>
            <w14:solidFill>
              <w14:schemeClr w14:val="tx1"/>
            </w14:solidFill>
          </w14:textFill>
        </w:rPr>
        <w:t>相结合，依法维护公民、法人和其他组织的合法权益，确保行政处罚裁量权行使的合法性、合理性。</w:t>
      </w:r>
    </w:p>
    <w:p>
      <w:pPr>
        <w:pStyle w:val="2"/>
        <w:ind w:firstLine="640" w:firstLineChars="200"/>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黑体"/>
          <w:b w:val="0"/>
          <w:bCs w:val="0"/>
          <w:color w:val="000000" w:themeColor="text1"/>
          <w:sz w:val="32"/>
          <w:szCs w:val="32"/>
          <w:lang w:val="en-US" w:eastAsia="zh-CN"/>
          <w14:textFill>
            <w14:solidFill>
              <w14:schemeClr w14:val="tx1"/>
            </w14:solidFill>
          </w14:textFill>
        </w:rPr>
        <w:t>第五条</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t>行使行政处罚裁量权，应当符合法律、法规、规章规定，遵循法定程序，保障行政相对人的合法权益。</w:t>
      </w:r>
    </w:p>
    <w:p>
      <w:pPr>
        <w:pStyle w:val="2"/>
        <w:rPr>
          <w:rFonts w:hint="default" w:ascii="Times New Roman" w:hAnsi="Times New Roman" w:eastAsia="仿宋_GB2312"/>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b w:val="0"/>
          <w:bCs w:val="0"/>
          <w:color w:val="000000" w:themeColor="text1"/>
          <w:sz w:val="32"/>
          <w:szCs w:val="32"/>
          <w14:textFill>
            <w14:solidFill>
              <w14:schemeClr w14:val="tx1"/>
            </w14:solidFill>
          </w14:textFill>
        </w:rPr>
      </w:pPr>
      <w:r>
        <w:rPr>
          <w:rFonts w:hint="eastAsia" w:ascii="Times New Roman" w:hAnsi="Times New Roman" w:eastAsia="楷体_GB2312" w:cs="楷体_GB2312"/>
          <w:b w:val="0"/>
          <w:bCs w:val="0"/>
          <w:color w:val="000000" w:themeColor="text1"/>
          <w:sz w:val="32"/>
          <w:szCs w:val="32"/>
          <w14:textFill>
            <w14:solidFill>
              <w14:schemeClr w14:val="tx1"/>
            </w14:solidFill>
          </w14:textFill>
        </w:rPr>
        <w:t>第二章</w:t>
      </w: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楷体_GB2312" w:cs="楷体_GB2312"/>
          <w:b w:val="0"/>
          <w:bCs w:val="0"/>
          <w:color w:val="000000" w:themeColor="text1"/>
          <w:sz w:val="32"/>
          <w:szCs w:val="32"/>
          <w14:textFill>
            <w14:solidFill>
              <w14:schemeClr w14:val="tx1"/>
            </w14:solidFill>
          </w14:textFill>
        </w:rPr>
        <w:t>基本规则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第六条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综合考虑违法行为的性质、情节、社会危害性等因素，对法律、法规、规章设定的罚款数额有一定幅度的，在相应的幅度范围内分为从重处罚、一般处罚、从轻处罚。除从轻处罚、从重处罚适用的情形外，其他适用于一般处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除法律、法规、规章另有规定外，处罚按照以下标准确定：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（一）处罚为一定幅度的数额罚款，并同时规定了最低罚款数额和最高罚款数额的，从轻处罚应低于中间值，从重处罚应高于中间值,中间值为最低数额与最高数额的平均值。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（二）处罚为一定金额的倍数罚款，并同时规定了最低罚款倍数和最高罚款倍数的，从轻处罚应低于中间倍数，从重处罚应高于中间倍数，中间值为最低倍数与最高倍数的平均值。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（三）处罚为一定期限的，以3个月为一档次进行划分。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14:textFill>
            <w14:solidFill>
              <w14:schemeClr w14:val="tx1"/>
            </w14:solidFill>
          </w14:textFill>
        </w:rPr>
        <w:t>第</w:t>
      </w:r>
      <w:r>
        <w:rPr>
          <w:rFonts w:hint="eastAsia" w:ascii="Times New Roman" w:hAnsi="Times New Roman" w:eastAsia="黑体" w:cs="黑体"/>
          <w:color w:val="000000" w:themeColor="text1"/>
          <w:sz w:val="32"/>
          <w:szCs w:val="32"/>
          <w:lang w:eastAsia="zh-CN"/>
          <w14:textFill>
            <w14:solidFill>
              <w14:schemeClr w14:val="tx1"/>
            </w14:solidFill>
          </w14:textFill>
        </w:rPr>
        <w:t>七</w:t>
      </w:r>
      <w:r>
        <w:rPr>
          <w:rFonts w:hint="eastAsia" w:ascii="Times New Roman" w:hAnsi="Times New Roman" w:eastAsia="黑体" w:cs="黑体"/>
          <w:color w:val="000000" w:themeColor="text1"/>
          <w:sz w:val="32"/>
          <w:szCs w:val="32"/>
          <w14:textFill>
            <w14:solidFill>
              <w14:schemeClr w14:val="tx1"/>
            </w14:solidFill>
          </w14:textFill>
        </w:rPr>
        <w:t>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i w:val="0"/>
          <w:caps w:val="0"/>
          <w:color w:val="000000" w:themeColor="text1"/>
          <w:spacing w:val="0"/>
          <w:sz w:val="32"/>
          <w:szCs w:val="32"/>
          <w14:textFill>
            <w14:solidFill>
              <w14:schemeClr w14:val="tx1"/>
            </w14:solidFill>
          </w14:textFill>
        </w:rPr>
        <w:t>从轻处罚应当在</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对应的</w:t>
      </w:r>
      <w:r>
        <w:rPr>
          <w:rFonts w:hint="eastAsia" w:ascii="Times New Roman" w:hAnsi="Times New Roman" w:eastAsia="仿宋_GB2312" w:cs="仿宋_GB2312"/>
          <w:color w:val="000000" w:themeColor="text1"/>
          <w:sz w:val="32"/>
          <w:szCs w:val="32"/>
          <w14:textFill>
            <w14:solidFill>
              <w14:schemeClr w14:val="tx1"/>
            </w14:solidFill>
          </w14:textFill>
        </w:rPr>
        <w:t>处罚幅度</w:t>
      </w:r>
      <w:r>
        <w:rPr>
          <w:rFonts w:hint="eastAsia" w:ascii="Times New Roman" w:hAnsi="Times New Roman" w:eastAsia="仿宋_GB2312" w:cs="仿宋_GB2312"/>
          <w:i w:val="0"/>
          <w:caps w:val="0"/>
          <w:color w:val="000000" w:themeColor="text1"/>
          <w:spacing w:val="0"/>
          <w:sz w:val="32"/>
          <w:szCs w:val="32"/>
          <w14:textFill>
            <w14:solidFill>
              <w14:schemeClr w14:val="tx1"/>
            </w14:solidFill>
          </w14:textFill>
        </w:rPr>
        <w:t>内选择较低的处罚</w:t>
      </w:r>
      <w:r>
        <w:rPr>
          <w:rFonts w:hint="eastAsia" w:ascii="Times New Roman" w:hAnsi="Times New Roman" w:eastAsia="仿宋_GB2312" w:cs="仿宋_GB2312"/>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14:textFill>
            <w14:solidFill>
              <w14:schemeClr w14:val="tx1"/>
            </w14:solidFill>
          </w14:textFill>
        </w:rPr>
        <w:t>给予减轻处罚的，依法在法定行政处罚的最低限度以下作出。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黑体" w:cs="黑体"/>
          <w:i w:val="0"/>
          <w:caps w:val="0"/>
          <w:color w:val="000000" w:themeColor="text1"/>
          <w:spacing w:val="0"/>
          <w:sz w:val="32"/>
          <w:szCs w:val="32"/>
          <w:lang w:val="en-US" w:eastAsia="zh-CN"/>
          <w14:textFill>
            <w14:solidFill>
              <w14:schemeClr w14:val="tx1"/>
            </w14:solidFill>
          </w14:textFill>
        </w:rPr>
        <w:t>第八条</w:t>
      </w:r>
      <w:r>
        <w:rPr>
          <w:rFonts w:hint="eastAsia" w:ascii="Times New Roman" w:hAnsi="Times New Roman"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同时具有两个以上从重情节、且不具有从轻或者减轻情节的，应当在违法行为对应的处罚幅度内按最高档次实施处罚。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同时具有两个以上从轻情节、且不具有从重情节的，应当在违法行为对应的处罚幅度内按最低档次实施处罚。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同时具有从重和从轻或减轻情节的，应当根据违法行为的性质和主要情节确定对应的处罚幅度，综合考虑后实施处罚。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i w:val="0"/>
          <w:caps w:val="0"/>
          <w:color w:val="000000" w:themeColor="text1"/>
          <w:spacing w:val="0"/>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楷体_GB2312" w:cs="楷体_GB2312"/>
          <w:i w:val="0"/>
          <w:caps w:val="0"/>
          <w:color w:val="000000" w:themeColor="text1"/>
          <w:spacing w:val="0"/>
          <w:sz w:val="32"/>
          <w:szCs w:val="32"/>
          <w:lang w:val="en-US" w:eastAsia="zh-CN"/>
          <w14:textFill>
            <w14:solidFill>
              <w14:schemeClr w14:val="tx1"/>
            </w14:solidFill>
          </w14:textFill>
        </w:rPr>
        <w:t>第三章  从轻减轻从重处罚和不予处罚的适用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第九条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有下列情形之一的，应当从轻或减轻处罚：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已满十四周岁不满十八周岁的未成年人实施违法行为的;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主动消除或减轻基金使用违法行为危害后果的;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受他人胁迫或者诱骗实施违法行为的;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主动供述行政机关尚未掌握的基金使用违法行为的关键线索或证据，并经查证属实的;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五</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积极配合行政机关查处违法行为、如实陈述违法事实并主动提供证据材料的;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六</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主动投案向行政机关如实交代违法行为的;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七</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法律、法规、规章规定应当从轻或减轻处罚的其他情形。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第十条</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有下列情形之一的，可以从轻或减轻处罚：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尚未完全丧失辨认或者控制自己行为能力的精神病人、智力残疾人有违法行为的;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初次违法且危害后果轻微并及时改正的;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法律、法规、规章规定可以从轻或减轻处罚的其他情形。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第十一条</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有下列情形之一的，应当从重处罚：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违法情节恶劣，造成严重危害后果的;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责令改正拒不改正，或者一年内实施两次以上同一性质违法行为的;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妨碍、阻挠或者抗拒执法人员依法调查、处理其违法行为的;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故意转移、隐匿、毁坏或伪造证据，或者对举报投诉人、证人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、行政执法人员</w:t>
      </w:r>
      <w:r>
        <w:rPr>
          <w:rFonts w:hint="eastAsia" w:ascii="Times New Roman" w:hAnsi="Times New Roman" w:eastAsia="仿宋_GB2312" w:cs="仿宋_GB2312"/>
          <w:color w:val="000000" w:themeColor="text1"/>
          <w:sz w:val="32"/>
          <w:szCs w:val="32"/>
          <w14:textFill>
            <w14:solidFill>
              <w14:schemeClr w14:val="tx1"/>
            </w14:solidFill>
          </w14:textFill>
        </w:rPr>
        <w:t>打击报复的;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五</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法律、法规、规章规定应当从重处罚的其他情形。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第十二条</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有下列情形之一的，应当不予处罚：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未满十四周岁的未成年人实施违法行为的;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精神病人、智力残疾人在不能辨认或者控制自己行为时实施违法行为的;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违法事实不清，证据不足的;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违法行为轻微并及时改正，未造成危害后果的;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五</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当事人有证据足以证明没有主观过错的，法律、行政法规另有规定的，从其规定;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六</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违法行为在二年内未被发现的，不再给予行政处罚;涉及公民生命健康安全、金融安全且有危害后果的，上述期限延长至五年。法律另有规定的除外。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前期规定的期限，从违法行为发生之日起计算;违法行为有连续或继续状态的，从行为终了之日起计算。</w:t>
      </w:r>
    </w:p>
    <w:p>
      <w:pPr>
        <w:pStyle w:val="2"/>
        <w:numPr>
          <w:ilvl w:val="0"/>
          <w:numId w:val="0"/>
        </w:numPr>
        <w:ind w:firstLine="640" w:firstLineChars="200"/>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七</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法律、法规、规章规定其他依法不予处罚的情形。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i w:val="0"/>
          <w:caps w:val="0"/>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第四章</w:t>
      </w: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楷体_GB2312" w:cs="楷体_GB2312"/>
          <w:color w:val="000000" w:themeColor="text1"/>
          <w:sz w:val="32"/>
          <w:szCs w:val="32"/>
          <w14:textFill>
            <w14:solidFill>
              <w14:schemeClr w14:val="tx1"/>
            </w14:solidFill>
          </w14:textFill>
        </w:rPr>
        <w:t xml:space="preserve"> 行政处罚裁量权的实施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第十三条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行使行政处罚裁量权，不得有下列情形：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违法行为的事实、性质、情节以及社会危害程度与受到的行政处罚相比，畸轻或者畸重的;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在同一时期同类案件中，不同当事人的违法行为相同或者相近，所受行政处罚差别较大的;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依法应当不予行政处罚或者应当从轻、减轻行政处罚的，给予处罚或未从轻、减轻行政处罚的;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其他滥用行政处罚裁量权情形的。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kern w:val="0"/>
          <w:sz w:val="32"/>
          <w:szCs w:val="32"/>
          <w:lang w:val="en-US" w:eastAsia="zh-CN" w:bidi="ar"/>
          <w14:textFill>
            <w14:solidFill>
              <w14:schemeClr w14:val="tx1"/>
            </w14:solidFill>
          </w14:textFill>
        </w:rPr>
        <w:t>第十四条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各级医疗保障行政部门应当建立健全规范医疗保障基金监管行政处罚裁量权的监督制度，通过以下方式加强对本行政区域内医疗保障行政部门行使裁量权情况的监督：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行政处罚集体讨论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或案审会</w:t>
      </w:r>
      <w:r>
        <w:rPr>
          <w:rFonts w:hint="eastAsia" w:ascii="Times New Roman" w:hAnsi="Times New Roman"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二</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行政处罚决定法制审核;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行政执法评议考核;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行政处罚案卷评查;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五</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办理行政执法投诉举报;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六</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行政处罚结果公开;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七</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法律、法规和规章规定的其他方式。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各级</w:t>
      </w:r>
      <w:r>
        <w:rPr>
          <w:rFonts w:hint="eastAsia" w:ascii="Times New Roman" w:hAnsi="Times New Roman" w:eastAsia="仿宋_GB2312" w:cs="仿宋_GB2312"/>
          <w:color w:val="000000" w:themeColor="text1"/>
          <w:sz w:val="32"/>
          <w:szCs w:val="32"/>
          <w14:textFill>
            <w14:solidFill>
              <w14:schemeClr w14:val="tx1"/>
            </w14:solidFill>
          </w14:textFill>
        </w:rPr>
        <w:t>医疗保障行政部门应当加强对下级医疗保障行政部门行使行政处罚裁量权的监督、指导。发现行政处罚裁量违法或者不当的，应当及时纠正。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lang w:eastAsia="zh-CN"/>
          <w14:textFill>
            <w14:solidFill>
              <w14:schemeClr w14:val="tx1"/>
            </w14:solidFill>
          </w14:textFill>
        </w:rPr>
        <w:t>第十五条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医疗保障基金监管行政执法人员滥用行政处罚裁量权的，依法追究其行政责任。涉嫌违纪、犯罪的，移交纪检监察机关、司法机关依法依规处理。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i w:val="0"/>
          <w:caps w:val="0"/>
          <w:color w:val="000000" w:themeColor="text1"/>
          <w:spacing w:val="0"/>
          <w:sz w:val="32"/>
          <w:szCs w:val="32"/>
          <w:shd w:val="clear" w:color="auto" w:fill="FFFFFF"/>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楷体_GB2312" w:cs="楷体_GB2312"/>
          <w:i w:val="0"/>
          <w:caps w:val="0"/>
          <w:color w:val="000000" w:themeColor="text1"/>
          <w:spacing w:val="0"/>
          <w:sz w:val="32"/>
          <w:szCs w:val="32"/>
          <w:shd w:val="clear" w:color="auto" w:fill="FFFFFF"/>
          <w:lang w:val="en-US" w:eastAsia="zh-CN"/>
          <w14:textFill>
            <w14:solidFill>
              <w14:schemeClr w14:val="tx1"/>
            </w14:solidFill>
          </w14:textFill>
        </w:rPr>
        <w:t>第五章  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黑体" w:cs="黑体"/>
          <w:i w:val="0"/>
          <w:caps w:val="0"/>
          <w:color w:val="000000" w:themeColor="text1"/>
          <w:spacing w:val="0"/>
          <w:sz w:val="32"/>
          <w:szCs w:val="32"/>
          <w:shd w:val="clear" w:color="auto" w:fill="FFFFFF"/>
          <w:lang w:eastAsia="zh-CN"/>
          <w14:textFill>
            <w14:solidFill>
              <w14:schemeClr w14:val="tx1"/>
            </w14:solidFill>
          </w14:textFill>
        </w:rPr>
        <w:t>第十六条</w:t>
      </w:r>
      <w:r>
        <w:rPr>
          <w:rFonts w:hint="eastAsia" w:ascii="Times New Roman" w:hAnsi="Times New Roman" w:eastAsia="黑体" w:cs="黑体"/>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i w:val="0"/>
          <w:caps w:val="0"/>
          <w:color w:val="000000" w:themeColor="text1"/>
          <w:spacing w:val="0"/>
          <w:sz w:val="32"/>
          <w:szCs w:val="32"/>
          <w:shd w:val="clear" w:color="auto" w:fill="FFFFFF"/>
          <w14:textFill>
            <w14:solidFill>
              <w14:schemeClr w14:val="tx1"/>
            </w14:solidFill>
          </w14:textFill>
        </w:rPr>
        <w:t>本</w:t>
      </w:r>
      <w:r>
        <w:rPr>
          <w:rFonts w:hint="eastAsia" w:ascii="Times New Roman" w:hAnsi="Times New Roman" w:eastAsia="仿宋_GB2312" w:cs="仿宋_GB2312"/>
          <w:i w:val="0"/>
          <w:caps w:val="0"/>
          <w:color w:val="000000" w:themeColor="text1"/>
          <w:spacing w:val="0"/>
          <w:sz w:val="32"/>
          <w:szCs w:val="32"/>
          <w:shd w:val="clear" w:color="auto" w:fill="FFFFFF"/>
          <w:lang w:eastAsia="zh-CN"/>
          <w14:textFill>
            <w14:solidFill>
              <w14:schemeClr w14:val="tx1"/>
            </w14:solidFill>
          </w14:textFill>
        </w:rPr>
        <w:t>办法</w:t>
      </w:r>
      <w:r>
        <w:rPr>
          <w:rFonts w:hint="eastAsia" w:ascii="Times New Roman" w:hAnsi="Times New Roman" w:eastAsia="仿宋_GB2312" w:cs="仿宋_GB2312"/>
          <w:i w:val="0"/>
          <w:caps w:val="0"/>
          <w:color w:val="000000" w:themeColor="text1"/>
          <w:spacing w:val="0"/>
          <w:sz w:val="32"/>
          <w:szCs w:val="32"/>
          <w:shd w:val="clear" w:color="auto" w:fill="FFFFFF"/>
          <w14:textFill>
            <w14:solidFill>
              <w14:schemeClr w14:val="tx1"/>
            </w14:solidFill>
          </w14:textFill>
        </w:rPr>
        <w:t>所称基本医疗保险基金，是指职工基本医疗保险、城乡居民基本医疗保险、生育保险</w:t>
      </w:r>
      <w:r>
        <w:rPr>
          <w:rFonts w:hint="eastAsia" w:ascii="Times New Roman" w:hAnsi="Times New Roman" w:eastAsia="仿宋_GB2312" w:cs="仿宋_GB2312"/>
          <w:i w:val="0"/>
          <w:caps w:val="0"/>
          <w:color w:val="000000" w:themeColor="text1"/>
          <w:spacing w:val="0"/>
          <w:sz w:val="32"/>
          <w:szCs w:val="32"/>
          <w:shd w:val="clear" w:color="auto" w:fill="FFFFFF"/>
          <w:lang w:eastAsia="zh-CN"/>
          <w14:textFill>
            <w14:solidFill>
              <w14:schemeClr w14:val="tx1"/>
            </w14:solidFill>
          </w14:textFill>
        </w:rPr>
        <w:t>、医疗救助</w:t>
      </w:r>
      <w:r>
        <w:rPr>
          <w:rFonts w:hint="eastAsia" w:ascii="Times New Roman" w:hAnsi="Times New Roman" w:eastAsia="仿宋_GB2312" w:cs="仿宋_GB2312"/>
          <w:i w:val="0"/>
          <w:caps w:val="0"/>
          <w:color w:val="000000" w:themeColor="text1"/>
          <w:spacing w:val="0"/>
          <w:sz w:val="32"/>
          <w:szCs w:val="32"/>
          <w:shd w:val="clear" w:color="auto" w:fill="FFFFFF"/>
          <w14:textFill>
            <w14:solidFill>
              <w14:schemeClr w14:val="tx1"/>
            </w14:solidFill>
          </w14:textFill>
        </w:rPr>
        <w:t>等基金。</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pPr>
      <w:r>
        <w:rPr>
          <w:rFonts w:hint="eastAsia" w:ascii="Times New Roman" w:hAnsi="Times New Roman" w:eastAsia="黑体" w:cs="黑体"/>
          <w:i w:val="0"/>
          <w:caps w:val="0"/>
          <w:color w:val="000000" w:themeColor="text1"/>
          <w:spacing w:val="0"/>
          <w:sz w:val="32"/>
          <w:szCs w:val="32"/>
          <w:shd w:val="clear" w:color="auto" w:fill="FFFFFF"/>
          <w:lang w:eastAsia="zh-CN"/>
          <w14:textFill>
            <w14:solidFill>
              <w14:schemeClr w14:val="tx1"/>
            </w14:solidFill>
          </w14:textFill>
        </w:rPr>
        <w:t>第十七条</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 xml:space="preserve">  本办法中的“以上”“以下”均不包含本数。</w:t>
      </w:r>
    </w:p>
    <w:p>
      <w:pPr>
        <w:pStyle w:val="2"/>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Times New Roman" w:hAnsi="Times New Roman" w:eastAsia="黑体" w:cs="黑体"/>
          <w:i w:val="0"/>
          <w:caps w:val="0"/>
          <w:color w:val="000000" w:themeColor="text1"/>
          <w:spacing w:val="0"/>
          <w:kern w:val="2"/>
          <w:sz w:val="32"/>
          <w:szCs w:val="32"/>
          <w:shd w:val="clear" w:color="auto" w:fill="FFFFFF"/>
          <w:lang w:val="en-US" w:eastAsia="zh-CN" w:bidi="ar-SA"/>
          <w14:textFill>
            <w14:solidFill>
              <w14:schemeClr w14:val="tx1"/>
            </w14:solidFill>
          </w14:textFill>
        </w:rPr>
        <w:t>第十八条</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 xml:space="preserve">  本办法自印发之日起实施。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附件：贵州省医疗保障系统行政处罚裁量权实施标准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-404495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85pt;height:144pt;width:144pt;mso-position-horizontal:outside;mso-position-horizontal-relative:margin;mso-wrap-style:none;z-index:251659264;mso-width-relative:page;mso-height-relative:page;" filled="f" stroked="f" coordsize="21600,21600" o:gfxdata="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QiGrNkAAAAM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765A6"/>
    <w:rsid w:val="000340F1"/>
    <w:rsid w:val="006763AF"/>
    <w:rsid w:val="006E62EB"/>
    <w:rsid w:val="00BD4F97"/>
    <w:rsid w:val="00FA41A6"/>
    <w:rsid w:val="010A2EDB"/>
    <w:rsid w:val="012505DD"/>
    <w:rsid w:val="014A2542"/>
    <w:rsid w:val="01560F17"/>
    <w:rsid w:val="01EC4A62"/>
    <w:rsid w:val="0267559A"/>
    <w:rsid w:val="02BF20B8"/>
    <w:rsid w:val="02C65888"/>
    <w:rsid w:val="02F679CC"/>
    <w:rsid w:val="0349201C"/>
    <w:rsid w:val="038F7727"/>
    <w:rsid w:val="03C336BA"/>
    <w:rsid w:val="04312455"/>
    <w:rsid w:val="044352D2"/>
    <w:rsid w:val="044C63A5"/>
    <w:rsid w:val="04692F75"/>
    <w:rsid w:val="049210E7"/>
    <w:rsid w:val="049355D9"/>
    <w:rsid w:val="04F332A8"/>
    <w:rsid w:val="05194A92"/>
    <w:rsid w:val="0539048F"/>
    <w:rsid w:val="055036ED"/>
    <w:rsid w:val="05760CF3"/>
    <w:rsid w:val="05B479CC"/>
    <w:rsid w:val="05CA47DB"/>
    <w:rsid w:val="05E07627"/>
    <w:rsid w:val="06385EF9"/>
    <w:rsid w:val="06705E49"/>
    <w:rsid w:val="069D0D90"/>
    <w:rsid w:val="069F2CA4"/>
    <w:rsid w:val="06EF7A91"/>
    <w:rsid w:val="07047548"/>
    <w:rsid w:val="071C7FC2"/>
    <w:rsid w:val="07272989"/>
    <w:rsid w:val="074D5C51"/>
    <w:rsid w:val="07534F1D"/>
    <w:rsid w:val="07802834"/>
    <w:rsid w:val="07D07CD2"/>
    <w:rsid w:val="07FA5863"/>
    <w:rsid w:val="08497D12"/>
    <w:rsid w:val="08B63FA7"/>
    <w:rsid w:val="08E65366"/>
    <w:rsid w:val="08E96FA6"/>
    <w:rsid w:val="096A5838"/>
    <w:rsid w:val="09A708C9"/>
    <w:rsid w:val="0A226156"/>
    <w:rsid w:val="0A2A313B"/>
    <w:rsid w:val="0A4C09E8"/>
    <w:rsid w:val="0A5324F8"/>
    <w:rsid w:val="0A6E2E6F"/>
    <w:rsid w:val="0A9A2E32"/>
    <w:rsid w:val="0AFD7C6B"/>
    <w:rsid w:val="0B0A75D0"/>
    <w:rsid w:val="0B29311E"/>
    <w:rsid w:val="0B831CF4"/>
    <w:rsid w:val="0B8C62D0"/>
    <w:rsid w:val="0BE42DE2"/>
    <w:rsid w:val="0BF24F80"/>
    <w:rsid w:val="0C067426"/>
    <w:rsid w:val="0C6E1691"/>
    <w:rsid w:val="0CAA1FB5"/>
    <w:rsid w:val="0CB57134"/>
    <w:rsid w:val="0CBC64E1"/>
    <w:rsid w:val="0CCB2ADE"/>
    <w:rsid w:val="0D07653E"/>
    <w:rsid w:val="0D0E1212"/>
    <w:rsid w:val="0D0F7EB2"/>
    <w:rsid w:val="0D1F0B8E"/>
    <w:rsid w:val="0D3310EB"/>
    <w:rsid w:val="0D3348CA"/>
    <w:rsid w:val="0D414FED"/>
    <w:rsid w:val="0D625378"/>
    <w:rsid w:val="0D7F2906"/>
    <w:rsid w:val="0D8C3A74"/>
    <w:rsid w:val="0DB66C8C"/>
    <w:rsid w:val="0DC14CB4"/>
    <w:rsid w:val="0DCF6DF5"/>
    <w:rsid w:val="0E454BCB"/>
    <w:rsid w:val="0E5C4C97"/>
    <w:rsid w:val="0E7C489A"/>
    <w:rsid w:val="0E85504E"/>
    <w:rsid w:val="0EB85843"/>
    <w:rsid w:val="0EF143F0"/>
    <w:rsid w:val="0F306C66"/>
    <w:rsid w:val="0F5A2631"/>
    <w:rsid w:val="0F796417"/>
    <w:rsid w:val="0FD35F20"/>
    <w:rsid w:val="10044EAC"/>
    <w:rsid w:val="103B6D2C"/>
    <w:rsid w:val="10467C89"/>
    <w:rsid w:val="105A37C5"/>
    <w:rsid w:val="105D2546"/>
    <w:rsid w:val="10774BC1"/>
    <w:rsid w:val="10A514A9"/>
    <w:rsid w:val="10AA164D"/>
    <w:rsid w:val="10C11FF9"/>
    <w:rsid w:val="10C5009C"/>
    <w:rsid w:val="10D60F64"/>
    <w:rsid w:val="11142F48"/>
    <w:rsid w:val="1168317A"/>
    <w:rsid w:val="11824B20"/>
    <w:rsid w:val="119B2125"/>
    <w:rsid w:val="11BC3B26"/>
    <w:rsid w:val="11C467ED"/>
    <w:rsid w:val="121B03F4"/>
    <w:rsid w:val="125F7418"/>
    <w:rsid w:val="12797594"/>
    <w:rsid w:val="12DC2108"/>
    <w:rsid w:val="12F76699"/>
    <w:rsid w:val="13087E36"/>
    <w:rsid w:val="131E5E89"/>
    <w:rsid w:val="133B1684"/>
    <w:rsid w:val="134F784A"/>
    <w:rsid w:val="135713B3"/>
    <w:rsid w:val="135E7529"/>
    <w:rsid w:val="139A79E0"/>
    <w:rsid w:val="13BB78E5"/>
    <w:rsid w:val="1403428E"/>
    <w:rsid w:val="14085904"/>
    <w:rsid w:val="14440278"/>
    <w:rsid w:val="14563528"/>
    <w:rsid w:val="14592197"/>
    <w:rsid w:val="14AE5D83"/>
    <w:rsid w:val="14BB7AC3"/>
    <w:rsid w:val="14F7127E"/>
    <w:rsid w:val="15120F64"/>
    <w:rsid w:val="15183043"/>
    <w:rsid w:val="15483E21"/>
    <w:rsid w:val="154E5C7F"/>
    <w:rsid w:val="155C1049"/>
    <w:rsid w:val="15611139"/>
    <w:rsid w:val="156246EB"/>
    <w:rsid w:val="1597021C"/>
    <w:rsid w:val="159A2A73"/>
    <w:rsid w:val="15A30889"/>
    <w:rsid w:val="16310D35"/>
    <w:rsid w:val="16625AC3"/>
    <w:rsid w:val="16646FE2"/>
    <w:rsid w:val="16A072A1"/>
    <w:rsid w:val="16A9447F"/>
    <w:rsid w:val="16B67721"/>
    <w:rsid w:val="16D32697"/>
    <w:rsid w:val="16D759C9"/>
    <w:rsid w:val="16F80FF9"/>
    <w:rsid w:val="16F8257C"/>
    <w:rsid w:val="17296BEF"/>
    <w:rsid w:val="1731038F"/>
    <w:rsid w:val="174D3552"/>
    <w:rsid w:val="176A7FB0"/>
    <w:rsid w:val="177569C8"/>
    <w:rsid w:val="178E7690"/>
    <w:rsid w:val="18172F27"/>
    <w:rsid w:val="18446C52"/>
    <w:rsid w:val="1863464C"/>
    <w:rsid w:val="18912E53"/>
    <w:rsid w:val="18A239FD"/>
    <w:rsid w:val="18B425E7"/>
    <w:rsid w:val="1901532E"/>
    <w:rsid w:val="193F4E1D"/>
    <w:rsid w:val="195C7FF6"/>
    <w:rsid w:val="19F2426F"/>
    <w:rsid w:val="1A254B9A"/>
    <w:rsid w:val="1A3512FD"/>
    <w:rsid w:val="1A441FAE"/>
    <w:rsid w:val="1A75113D"/>
    <w:rsid w:val="1A997B6B"/>
    <w:rsid w:val="1ABC2144"/>
    <w:rsid w:val="1B0B6C1F"/>
    <w:rsid w:val="1B3B74D8"/>
    <w:rsid w:val="1B930D07"/>
    <w:rsid w:val="1BC7269B"/>
    <w:rsid w:val="1BD11136"/>
    <w:rsid w:val="1BF4185A"/>
    <w:rsid w:val="1BFA591A"/>
    <w:rsid w:val="1C0127E7"/>
    <w:rsid w:val="1C3223F1"/>
    <w:rsid w:val="1C38615E"/>
    <w:rsid w:val="1C4F5729"/>
    <w:rsid w:val="1C6D5051"/>
    <w:rsid w:val="1CB01A34"/>
    <w:rsid w:val="1CD95095"/>
    <w:rsid w:val="1D277C2B"/>
    <w:rsid w:val="1D5C62ED"/>
    <w:rsid w:val="1D716516"/>
    <w:rsid w:val="1DF94FA6"/>
    <w:rsid w:val="1E5452B0"/>
    <w:rsid w:val="1E676E10"/>
    <w:rsid w:val="1E893FB4"/>
    <w:rsid w:val="1EA525CD"/>
    <w:rsid w:val="1ED063AE"/>
    <w:rsid w:val="1EFA4249"/>
    <w:rsid w:val="1EFC05E2"/>
    <w:rsid w:val="1F196435"/>
    <w:rsid w:val="1F57314F"/>
    <w:rsid w:val="1F6F3C66"/>
    <w:rsid w:val="1F8B325D"/>
    <w:rsid w:val="1FDB6A1C"/>
    <w:rsid w:val="1FEE562E"/>
    <w:rsid w:val="1FF044F0"/>
    <w:rsid w:val="1FFD6949"/>
    <w:rsid w:val="2033061A"/>
    <w:rsid w:val="20383D35"/>
    <w:rsid w:val="204628A4"/>
    <w:rsid w:val="204F596B"/>
    <w:rsid w:val="20546F15"/>
    <w:rsid w:val="206B1923"/>
    <w:rsid w:val="207804C3"/>
    <w:rsid w:val="20A94063"/>
    <w:rsid w:val="20B65990"/>
    <w:rsid w:val="20B9461E"/>
    <w:rsid w:val="21066A12"/>
    <w:rsid w:val="210D5A4A"/>
    <w:rsid w:val="21115A8E"/>
    <w:rsid w:val="21205E3A"/>
    <w:rsid w:val="212E1B20"/>
    <w:rsid w:val="21446BCD"/>
    <w:rsid w:val="21631470"/>
    <w:rsid w:val="21715803"/>
    <w:rsid w:val="21967DBA"/>
    <w:rsid w:val="21A00981"/>
    <w:rsid w:val="21C90F30"/>
    <w:rsid w:val="21EF3871"/>
    <w:rsid w:val="222D2573"/>
    <w:rsid w:val="2291671F"/>
    <w:rsid w:val="22BB0B30"/>
    <w:rsid w:val="22C9109B"/>
    <w:rsid w:val="22F56E48"/>
    <w:rsid w:val="22FB105F"/>
    <w:rsid w:val="2302047E"/>
    <w:rsid w:val="23190BD9"/>
    <w:rsid w:val="231A1FAB"/>
    <w:rsid w:val="232725D7"/>
    <w:rsid w:val="2344220C"/>
    <w:rsid w:val="235A4CD7"/>
    <w:rsid w:val="235C732B"/>
    <w:rsid w:val="23890ECB"/>
    <w:rsid w:val="23CE43AF"/>
    <w:rsid w:val="23E743CA"/>
    <w:rsid w:val="23EB49B3"/>
    <w:rsid w:val="23FE134B"/>
    <w:rsid w:val="24194D00"/>
    <w:rsid w:val="24752C88"/>
    <w:rsid w:val="24BE7985"/>
    <w:rsid w:val="24DD5788"/>
    <w:rsid w:val="24E5150D"/>
    <w:rsid w:val="24EF2DF0"/>
    <w:rsid w:val="25672CEA"/>
    <w:rsid w:val="258A754E"/>
    <w:rsid w:val="25991001"/>
    <w:rsid w:val="25BC7E2D"/>
    <w:rsid w:val="26503A2C"/>
    <w:rsid w:val="26B81F7E"/>
    <w:rsid w:val="26BD7FB9"/>
    <w:rsid w:val="26C279EB"/>
    <w:rsid w:val="26DB49A5"/>
    <w:rsid w:val="26FB21E3"/>
    <w:rsid w:val="274646FB"/>
    <w:rsid w:val="276F1F11"/>
    <w:rsid w:val="27D807C3"/>
    <w:rsid w:val="2825712E"/>
    <w:rsid w:val="28365389"/>
    <w:rsid w:val="283D4A0F"/>
    <w:rsid w:val="28514716"/>
    <w:rsid w:val="28964B84"/>
    <w:rsid w:val="28AC2BB6"/>
    <w:rsid w:val="28AC4B85"/>
    <w:rsid w:val="29045318"/>
    <w:rsid w:val="29170CB7"/>
    <w:rsid w:val="29187829"/>
    <w:rsid w:val="296269F6"/>
    <w:rsid w:val="297576E4"/>
    <w:rsid w:val="29BC3932"/>
    <w:rsid w:val="29DD7156"/>
    <w:rsid w:val="2A0D5C44"/>
    <w:rsid w:val="2A0F4F50"/>
    <w:rsid w:val="2A7737A7"/>
    <w:rsid w:val="2A861BF0"/>
    <w:rsid w:val="2B450C53"/>
    <w:rsid w:val="2B793475"/>
    <w:rsid w:val="2B7A5BA2"/>
    <w:rsid w:val="2B8A3E0D"/>
    <w:rsid w:val="2BCB107B"/>
    <w:rsid w:val="2BDA5C39"/>
    <w:rsid w:val="2BE73C74"/>
    <w:rsid w:val="2BFC5FE0"/>
    <w:rsid w:val="2C322C33"/>
    <w:rsid w:val="2C443CFE"/>
    <w:rsid w:val="2C485B33"/>
    <w:rsid w:val="2C6B598F"/>
    <w:rsid w:val="2C9B6290"/>
    <w:rsid w:val="2CDB3DC3"/>
    <w:rsid w:val="2D0A2C2A"/>
    <w:rsid w:val="2D2623CB"/>
    <w:rsid w:val="2D4E1ADC"/>
    <w:rsid w:val="2D523AE4"/>
    <w:rsid w:val="2D667572"/>
    <w:rsid w:val="2DD77DE5"/>
    <w:rsid w:val="2DE87095"/>
    <w:rsid w:val="2DE96929"/>
    <w:rsid w:val="2E006ED2"/>
    <w:rsid w:val="2E7D5E00"/>
    <w:rsid w:val="2E9765A6"/>
    <w:rsid w:val="2EAE6677"/>
    <w:rsid w:val="2EBA5E2C"/>
    <w:rsid w:val="2ED34CD0"/>
    <w:rsid w:val="2EE86354"/>
    <w:rsid w:val="2EEF064B"/>
    <w:rsid w:val="2EF84FD2"/>
    <w:rsid w:val="2EF905A5"/>
    <w:rsid w:val="2F354CBD"/>
    <w:rsid w:val="2F4F6CEB"/>
    <w:rsid w:val="2F570C16"/>
    <w:rsid w:val="2F5B3F6E"/>
    <w:rsid w:val="2F9939B6"/>
    <w:rsid w:val="2FB82793"/>
    <w:rsid w:val="30395E4B"/>
    <w:rsid w:val="306452D7"/>
    <w:rsid w:val="30B20FF4"/>
    <w:rsid w:val="30B21AEF"/>
    <w:rsid w:val="30B36EA0"/>
    <w:rsid w:val="30D23CC3"/>
    <w:rsid w:val="30FC7378"/>
    <w:rsid w:val="31A35D58"/>
    <w:rsid w:val="31D47EFE"/>
    <w:rsid w:val="31DE4BC0"/>
    <w:rsid w:val="31ED51E6"/>
    <w:rsid w:val="31FC6F0E"/>
    <w:rsid w:val="327E02DE"/>
    <w:rsid w:val="3286560E"/>
    <w:rsid w:val="328E4F49"/>
    <w:rsid w:val="337C0C3E"/>
    <w:rsid w:val="33803D7B"/>
    <w:rsid w:val="33BA3D6B"/>
    <w:rsid w:val="33C830BA"/>
    <w:rsid w:val="34643F97"/>
    <w:rsid w:val="347A4E86"/>
    <w:rsid w:val="353765F6"/>
    <w:rsid w:val="35607AF3"/>
    <w:rsid w:val="358232D7"/>
    <w:rsid w:val="35A34DE5"/>
    <w:rsid w:val="35D7373F"/>
    <w:rsid w:val="35D75E2E"/>
    <w:rsid w:val="3602302A"/>
    <w:rsid w:val="361A0C60"/>
    <w:rsid w:val="368217FB"/>
    <w:rsid w:val="36D96CD9"/>
    <w:rsid w:val="36F705C0"/>
    <w:rsid w:val="370B33DE"/>
    <w:rsid w:val="37171C15"/>
    <w:rsid w:val="372F24A6"/>
    <w:rsid w:val="374045BB"/>
    <w:rsid w:val="37432CD5"/>
    <w:rsid w:val="376669A9"/>
    <w:rsid w:val="379404E1"/>
    <w:rsid w:val="37957DCA"/>
    <w:rsid w:val="38286503"/>
    <w:rsid w:val="38521C44"/>
    <w:rsid w:val="387D00BD"/>
    <w:rsid w:val="389B4F36"/>
    <w:rsid w:val="38AE6F69"/>
    <w:rsid w:val="38CF153F"/>
    <w:rsid w:val="38DC6008"/>
    <w:rsid w:val="390E6708"/>
    <w:rsid w:val="391E1384"/>
    <w:rsid w:val="39347152"/>
    <w:rsid w:val="39536BDB"/>
    <w:rsid w:val="39560877"/>
    <w:rsid w:val="398F6BE1"/>
    <w:rsid w:val="39C340B1"/>
    <w:rsid w:val="39E143D1"/>
    <w:rsid w:val="3A292071"/>
    <w:rsid w:val="3A3F727B"/>
    <w:rsid w:val="3ADD75C2"/>
    <w:rsid w:val="3AE815B4"/>
    <w:rsid w:val="3B1E7BAB"/>
    <w:rsid w:val="3B5869C1"/>
    <w:rsid w:val="3B827641"/>
    <w:rsid w:val="3B85699E"/>
    <w:rsid w:val="3BA83E17"/>
    <w:rsid w:val="3BAF6E11"/>
    <w:rsid w:val="3BD4569A"/>
    <w:rsid w:val="3BE86EE8"/>
    <w:rsid w:val="3C351C7F"/>
    <w:rsid w:val="3C5737AB"/>
    <w:rsid w:val="3C5F548E"/>
    <w:rsid w:val="3C6476CF"/>
    <w:rsid w:val="3C8E7520"/>
    <w:rsid w:val="3CBB28F5"/>
    <w:rsid w:val="3CE21F02"/>
    <w:rsid w:val="3D0362F2"/>
    <w:rsid w:val="3D166BFD"/>
    <w:rsid w:val="3D4C6E26"/>
    <w:rsid w:val="3DF00892"/>
    <w:rsid w:val="3E3A028C"/>
    <w:rsid w:val="3E445810"/>
    <w:rsid w:val="3E5C185C"/>
    <w:rsid w:val="3EE76786"/>
    <w:rsid w:val="3F106616"/>
    <w:rsid w:val="3F8F54CC"/>
    <w:rsid w:val="3F961424"/>
    <w:rsid w:val="3FD62854"/>
    <w:rsid w:val="400C42FC"/>
    <w:rsid w:val="40A97F14"/>
    <w:rsid w:val="41723537"/>
    <w:rsid w:val="4184033F"/>
    <w:rsid w:val="41B32A45"/>
    <w:rsid w:val="41D33870"/>
    <w:rsid w:val="41F94A86"/>
    <w:rsid w:val="422A0073"/>
    <w:rsid w:val="42350849"/>
    <w:rsid w:val="42C52073"/>
    <w:rsid w:val="42D92278"/>
    <w:rsid w:val="43230A14"/>
    <w:rsid w:val="43507040"/>
    <w:rsid w:val="438007A4"/>
    <w:rsid w:val="43FA30DF"/>
    <w:rsid w:val="44086983"/>
    <w:rsid w:val="440A2BBB"/>
    <w:rsid w:val="44113DFE"/>
    <w:rsid w:val="441333BB"/>
    <w:rsid w:val="446D222A"/>
    <w:rsid w:val="44890C6A"/>
    <w:rsid w:val="44B07A88"/>
    <w:rsid w:val="44BF49EC"/>
    <w:rsid w:val="44C30F26"/>
    <w:rsid w:val="44EE79BD"/>
    <w:rsid w:val="45576D7E"/>
    <w:rsid w:val="458C3A5C"/>
    <w:rsid w:val="46723B81"/>
    <w:rsid w:val="467D0C75"/>
    <w:rsid w:val="4697231E"/>
    <w:rsid w:val="469858B1"/>
    <w:rsid w:val="469937D2"/>
    <w:rsid w:val="46D37B61"/>
    <w:rsid w:val="46EB67CD"/>
    <w:rsid w:val="47470B2D"/>
    <w:rsid w:val="478B5DCF"/>
    <w:rsid w:val="479A0C77"/>
    <w:rsid w:val="47AB0418"/>
    <w:rsid w:val="47CD24F6"/>
    <w:rsid w:val="47DD64A5"/>
    <w:rsid w:val="47EB664D"/>
    <w:rsid w:val="481879B7"/>
    <w:rsid w:val="482021D9"/>
    <w:rsid w:val="486A6BCF"/>
    <w:rsid w:val="48B21A18"/>
    <w:rsid w:val="48E66713"/>
    <w:rsid w:val="48F041CA"/>
    <w:rsid w:val="48F62806"/>
    <w:rsid w:val="4925569B"/>
    <w:rsid w:val="49936401"/>
    <w:rsid w:val="49C62CBD"/>
    <w:rsid w:val="49DA42AA"/>
    <w:rsid w:val="49EF5E1E"/>
    <w:rsid w:val="4A0603C0"/>
    <w:rsid w:val="4A6C2145"/>
    <w:rsid w:val="4A7828F1"/>
    <w:rsid w:val="4AA666E2"/>
    <w:rsid w:val="4AE657EB"/>
    <w:rsid w:val="4AEA2449"/>
    <w:rsid w:val="4AF11519"/>
    <w:rsid w:val="4AF149B5"/>
    <w:rsid w:val="4B374D30"/>
    <w:rsid w:val="4B841F01"/>
    <w:rsid w:val="4B8B765E"/>
    <w:rsid w:val="4B8E7577"/>
    <w:rsid w:val="4BBA58F4"/>
    <w:rsid w:val="4BDB64B5"/>
    <w:rsid w:val="4BDC0205"/>
    <w:rsid w:val="4C1B4DEC"/>
    <w:rsid w:val="4C750F8E"/>
    <w:rsid w:val="4C79605A"/>
    <w:rsid w:val="4C9E31B2"/>
    <w:rsid w:val="4D272FC9"/>
    <w:rsid w:val="4DB74319"/>
    <w:rsid w:val="4E133C0B"/>
    <w:rsid w:val="4E1F432B"/>
    <w:rsid w:val="4E7C63CC"/>
    <w:rsid w:val="4EAF58B9"/>
    <w:rsid w:val="4ED45FFC"/>
    <w:rsid w:val="4EE32CF8"/>
    <w:rsid w:val="4EEC620D"/>
    <w:rsid w:val="4F1E58E3"/>
    <w:rsid w:val="4F5A24DE"/>
    <w:rsid w:val="4F822D8A"/>
    <w:rsid w:val="4FC47972"/>
    <w:rsid w:val="4FE736F4"/>
    <w:rsid w:val="5016163C"/>
    <w:rsid w:val="501A128F"/>
    <w:rsid w:val="508B2F4B"/>
    <w:rsid w:val="51225F36"/>
    <w:rsid w:val="513C5E00"/>
    <w:rsid w:val="517C3298"/>
    <w:rsid w:val="51BB29DF"/>
    <w:rsid w:val="51BE5C30"/>
    <w:rsid w:val="522736D6"/>
    <w:rsid w:val="522744E8"/>
    <w:rsid w:val="52403DC5"/>
    <w:rsid w:val="524A79BF"/>
    <w:rsid w:val="52585846"/>
    <w:rsid w:val="52862A47"/>
    <w:rsid w:val="52F506D4"/>
    <w:rsid w:val="531A446F"/>
    <w:rsid w:val="532A455B"/>
    <w:rsid w:val="533E17D6"/>
    <w:rsid w:val="53545292"/>
    <w:rsid w:val="53642620"/>
    <w:rsid w:val="536B09C0"/>
    <w:rsid w:val="538012B4"/>
    <w:rsid w:val="538D66E2"/>
    <w:rsid w:val="53A36251"/>
    <w:rsid w:val="53CA0A4A"/>
    <w:rsid w:val="53CC771A"/>
    <w:rsid w:val="53CE35C2"/>
    <w:rsid w:val="540D2474"/>
    <w:rsid w:val="54441979"/>
    <w:rsid w:val="548B7C28"/>
    <w:rsid w:val="54A61E14"/>
    <w:rsid w:val="54D10D98"/>
    <w:rsid w:val="54D73B58"/>
    <w:rsid w:val="54DA4F55"/>
    <w:rsid w:val="551C4257"/>
    <w:rsid w:val="55384B0C"/>
    <w:rsid w:val="553A1030"/>
    <w:rsid w:val="557F33F9"/>
    <w:rsid w:val="55841469"/>
    <w:rsid w:val="5588422E"/>
    <w:rsid w:val="559007E3"/>
    <w:rsid w:val="55A23578"/>
    <w:rsid w:val="55C22273"/>
    <w:rsid w:val="55C4434C"/>
    <w:rsid w:val="560A5AAC"/>
    <w:rsid w:val="564D5E8D"/>
    <w:rsid w:val="568B1E66"/>
    <w:rsid w:val="56AB30B2"/>
    <w:rsid w:val="56B41863"/>
    <w:rsid w:val="56CD368D"/>
    <w:rsid w:val="56D76E97"/>
    <w:rsid w:val="56D866BA"/>
    <w:rsid w:val="56E32503"/>
    <w:rsid w:val="57576DCB"/>
    <w:rsid w:val="575A3C12"/>
    <w:rsid w:val="57A53127"/>
    <w:rsid w:val="57CD6E3B"/>
    <w:rsid w:val="583E5062"/>
    <w:rsid w:val="58495598"/>
    <w:rsid w:val="5882107C"/>
    <w:rsid w:val="58B31C64"/>
    <w:rsid w:val="58BE4A19"/>
    <w:rsid w:val="58F45346"/>
    <w:rsid w:val="59474DEB"/>
    <w:rsid w:val="5969644B"/>
    <w:rsid w:val="596C0E91"/>
    <w:rsid w:val="59B97903"/>
    <w:rsid w:val="59F16AE6"/>
    <w:rsid w:val="5A236CDE"/>
    <w:rsid w:val="5A886041"/>
    <w:rsid w:val="5AC06789"/>
    <w:rsid w:val="5AEC199D"/>
    <w:rsid w:val="5B0F25D2"/>
    <w:rsid w:val="5B245325"/>
    <w:rsid w:val="5B41593A"/>
    <w:rsid w:val="5B441697"/>
    <w:rsid w:val="5B992F13"/>
    <w:rsid w:val="5B9F29BF"/>
    <w:rsid w:val="5BD84B19"/>
    <w:rsid w:val="5BDA007B"/>
    <w:rsid w:val="5BF034C8"/>
    <w:rsid w:val="5C2E4491"/>
    <w:rsid w:val="5C3B6450"/>
    <w:rsid w:val="5C870A94"/>
    <w:rsid w:val="5CF6753C"/>
    <w:rsid w:val="5D551BA4"/>
    <w:rsid w:val="5D6620F9"/>
    <w:rsid w:val="5DBE3269"/>
    <w:rsid w:val="5DDB6DEB"/>
    <w:rsid w:val="5DE6644B"/>
    <w:rsid w:val="5E0B396C"/>
    <w:rsid w:val="5E117012"/>
    <w:rsid w:val="5EDD5694"/>
    <w:rsid w:val="5EE425FC"/>
    <w:rsid w:val="5EF43E83"/>
    <w:rsid w:val="5F0B3AA7"/>
    <w:rsid w:val="5F1317F0"/>
    <w:rsid w:val="5F3156E2"/>
    <w:rsid w:val="5FAC5AA1"/>
    <w:rsid w:val="5FC832F0"/>
    <w:rsid w:val="60032C27"/>
    <w:rsid w:val="600D079B"/>
    <w:rsid w:val="601C31F4"/>
    <w:rsid w:val="60396B44"/>
    <w:rsid w:val="606E377F"/>
    <w:rsid w:val="607E0179"/>
    <w:rsid w:val="6088400C"/>
    <w:rsid w:val="60B855A6"/>
    <w:rsid w:val="60F90A33"/>
    <w:rsid w:val="61135B29"/>
    <w:rsid w:val="61591A35"/>
    <w:rsid w:val="61674CAD"/>
    <w:rsid w:val="616B6DF5"/>
    <w:rsid w:val="617319BE"/>
    <w:rsid w:val="618508BB"/>
    <w:rsid w:val="61E13B74"/>
    <w:rsid w:val="61E74887"/>
    <w:rsid w:val="61F102BC"/>
    <w:rsid w:val="623458C8"/>
    <w:rsid w:val="62801E2F"/>
    <w:rsid w:val="62953E1E"/>
    <w:rsid w:val="62960887"/>
    <w:rsid w:val="6359047A"/>
    <w:rsid w:val="636D3A5A"/>
    <w:rsid w:val="6383094B"/>
    <w:rsid w:val="63A41875"/>
    <w:rsid w:val="63BD1B37"/>
    <w:rsid w:val="63C511FA"/>
    <w:rsid w:val="63F53EC8"/>
    <w:rsid w:val="64121C88"/>
    <w:rsid w:val="64230CDE"/>
    <w:rsid w:val="643A5BFF"/>
    <w:rsid w:val="64B4293D"/>
    <w:rsid w:val="64BE6A84"/>
    <w:rsid w:val="64D41017"/>
    <w:rsid w:val="64F47B7C"/>
    <w:rsid w:val="65000735"/>
    <w:rsid w:val="652907E7"/>
    <w:rsid w:val="65726229"/>
    <w:rsid w:val="65C71AC9"/>
    <w:rsid w:val="65D36ECB"/>
    <w:rsid w:val="65DE2226"/>
    <w:rsid w:val="65F73115"/>
    <w:rsid w:val="66023292"/>
    <w:rsid w:val="66141F7A"/>
    <w:rsid w:val="665164BA"/>
    <w:rsid w:val="666B792B"/>
    <w:rsid w:val="666C39D5"/>
    <w:rsid w:val="668F5B42"/>
    <w:rsid w:val="66C94AFE"/>
    <w:rsid w:val="67015874"/>
    <w:rsid w:val="671D0D4E"/>
    <w:rsid w:val="67544A96"/>
    <w:rsid w:val="67653FAB"/>
    <w:rsid w:val="6776732D"/>
    <w:rsid w:val="67B20933"/>
    <w:rsid w:val="67E059DF"/>
    <w:rsid w:val="67E33192"/>
    <w:rsid w:val="68116CC6"/>
    <w:rsid w:val="68166432"/>
    <w:rsid w:val="68683586"/>
    <w:rsid w:val="68B61E69"/>
    <w:rsid w:val="694F63BC"/>
    <w:rsid w:val="69857B77"/>
    <w:rsid w:val="69B55886"/>
    <w:rsid w:val="69FA137A"/>
    <w:rsid w:val="6AC3265A"/>
    <w:rsid w:val="6AC97DBC"/>
    <w:rsid w:val="6B133F40"/>
    <w:rsid w:val="6B176300"/>
    <w:rsid w:val="6B1F0DB5"/>
    <w:rsid w:val="6B675B39"/>
    <w:rsid w:val="6B876CB1"/>
    <w:rsid w:val="6BB11D83"/>
    <w:rsid w:val="6BE970EE"/>
    <w:rsid w:val="6C15267B"/>
    <w:rsid w:val="6C34201B"/>
    <w:rsid w:val="6C470524"/>
    <w:rsid w:val="6C6E420E"/>
    <w:rsid w:val="6C954844"/>
    <w:rsid w:val="6CBE3B2B"/>
    <w:rsid w:val="6CDF2D30"/>
    <w:rsid w:val="6CE030BA"/>
    <w:rsid w:val="6D1453EB"/>
    <w:rsid w:val="6D464518"/>
    <w:rsid w:val="6D841567"/>
    <w:rsid w:val="6D9C7FEB"/>
    <w:rsid w:val="6DAF0B84"/>
    <w:rsid w:val="6E1A412D"/>
    <w:rsid w:val="6E880BC9"/>
    <w:rsid w:val="6E8F5F31"/>
    <w:rsid w:val="6EB85221"/>
    <w:rsid w:val="6EC22B91"/>
    <w:rsid w:val="6ED37AE7"/>
    <w:rsid w:val="6F131C7E"/>
    <w:rsid w:val="6F32188C"/>
    <w:rsid w:val="6F351D35"/>
    <w:rsid w:val="6F5A4C45"/>
    <w:rsid w:val="6FE61BFA"/>
    <w:rsid w:val="6FF137C8"/>
    <w:rsid w:val="70127E61"/>
    <w:rsid w:val="705F31D2"/>
    <w:rsid w:val="70850513"/>
    <w:rsid w:val="70A73AB5"/>
    <w:rsid w:val="70BA643A"/>
    <w:rsid w:val="7197212B"/>
    <w:rsid w:val="719A51D7"/>
    <w:rsid w:val="719D1B2F"/>
    <w:rsid w:val="71B93F54"/>
    <w:rsid w:val="71D00CC4"/>
    <w:rsid w:val="71F111AC"/>
    <w:rsid w:val="72111169"/>
    <w:rsid w:val="72153BCC"/>
    <w:rsid w:val="721D313E"/>
    <w:rsid w:val="726A0A10"/>
    <w:rsid w:val="72923B62"/>
    <w:rsid w:val="72DB352A"/>
    <w:rsid w:val="72DE28E4"/>
    <w:rsid w:val="72F95B51"/>
    <w:rsid w:val="73123049"/>
    <w:rsid w:val="731700DC"/>
    <w:rsid w:val="73AA53DF"/>
    <w:rsid w:val="73B4148F"/>
    <w:rsid w:val="73DE308F"/>
    <w:rsid w:val="741419FD"/>
    <w:rsid w:val="743C5A6D"/>
    <w:rsid w:val="747C08C4"/>
    <w:rsid w:val="74960A51"/>
    <w:rsid w:val="74BC1F94"/>
    <w:rsid w:val="74FF26EF"/>
    <w:rsid w:val="751C252F"/>
    <w:rsid w:val="75430F53"/>
    <w:rsid w:val="755D5449"/>
    <w:rsid w:val="75853470"/>
    <w:rsid w:val="75975079"/>
    <w:rsid w:val="75A66744"/>
    <w:rsid w:val="75A764C0"/>
    <w:rsid w:val="75CB01E8"/>
    <w:rsid w:val="7603121B"/>
    <w:rsid w:val="760A7CA0"/>
    <w:rsid w:val="761C3A07"/>
    <w:rsid w:val="76493DBB"/>
    <w:rsid w:val="76665B26"/>
    <w:rsid w:val="766B7580"/>
    <w:rsid w:val="76782C2B"/>
    <w:rsid w:val="76872CDB"/>
    <w:rsid w:val="76FA3DF8"/>
    <w:rsid w:val="771859E7"/>
    <w:rsid w:val="774C0FDE"/>
    <w:rsid w:val="777F4F10"/>
    <w:rsid w:val="77896CEF"/>
    <w:rsid w:val="77AB0229"/>
    <w:rsid w:val="78136D68"/>
    <w:rsid w:val="7821166A"/>
    <w:rsid w:val="78263A72"/>
    <w:rsid w:val="78512910"/>
    <w:rsid w:val="78850514"/>
    <w:rsid w:val="790378A5"/>
    <w:rsid w:val="79243E3A"/>
    <w:rsid w:val="797139E0"/>
    <w:rsid w:val="7A161385"/>
    <w:rsid w:val="7A795829"/>
    <w:rsid w:val="7AAC01AC"/>
    <w:rsid w:val="7AB3216F"/>
    <w:rsid w:val="7B314AB9"/>
    <w:rsid w:val="7B50711C"/>
    <w:rsid w:val="7BA662B5"/>
    <w:rsid w:val="7BAA4265"/>
    <w:rsid w:val="7BB53252"/>
    <w:rsid w:val="7BB54E75"/>
    <w:rsid w:val="7BBD3CB6"/>
    <w:rsid w:val="7BEB559B"/>
    <w:rsid w:val="7BF47032"/>
    <w:rsid w:val="7C115902"/>
    <w:rsid w:val="7C612C47"/>
    <w:rsid w:val="7C8004B1"/>
    <w:rsid w:val="7C963A0E"/>
    <w:rsid w:val="7D0C343C"/>
    <w:rsid w:val="7D207E09"/>
    <w:rsid w:val="7D7312BC"/>
    <w:rsid w:val="7D9939E7"/>
    <w:rsid w:val="7D9E561F"/>
    <w:rsid w:val="7DA76D28"/>
    <w:rsid w:val="7DE706FB"/>
    <w:rsid w:val="7E0B024C"/>
    <w:rsid w:val="7E5D633C"/>
    <w:rsid w:val="7FBF6168"/>
    <w:rsid w:val="7FEB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2021-07-12T06:29:00Z</dcterms:created>
  <dc:creator>王皓</dc:creator>
  <cp:lastModifiedBy>王皓</cp:lastModifiedBy>
  <cp:lastPrinted>2021-12-21T06:55:31Z</cp:lastPrinted>
  <dcterms:modified xsi:type="dcterms:W3CDTF">2021-12-21T07:49:10Z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